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336ED" w:rsidP="00D336ED" w:rsidRDefault="00D336ED" w14:paraId="33B92865" w14:textId="4CDC3FD7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E23AC7" wp14:editId="3BF58F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1849" cy="602615"/>
            <wp:effectExtent l="0" t="0" r="7620" b="6985"/>
            <wp:wrapTight wrapText="bothSides">
              <wp:wrapPolygon edited="0">
                <wp:start x="0" y="0"/>
                <wp:lineTo x="0" y="21168"/>
                <wp:lineTo x="21447" y="21168"/>
                <wp:lineTo x="21447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49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480FC" wp14:editId="345517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1680" cy="646430"/>
            <wp:effectExtent l="0" t="0" r="7620" b="1270"/>
            <wp:wrapTight wrapText="bothSides">
              <wp:wrapPolygon edited="0">
                <wp:start x="0" y="0"/>
                <wp:lineTo x="0" y="21006"/>
                <wp:lineTo x="21477" y="21006"/>
                <wp:lineTo x="21477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6ED" w:rsidP="00D336ED" w:rsidRDefault="00D336ED" w14:paraId="4314E1A6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p w:rsidRPr="005908CB" w:rsidR="00D336ED" w:rsidP="005908CB" w:rsidRDefault="00D336ED" w14:paraId="56A8E803" w14:textId="5F4198B1">
      <w:pPr>
        <w:pStyle w:val="Heading1"/>
        <w:jc w:val="center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QUALITY ASSURANCE PROCESS FOR INITIAL NEEDS ASSESSMENT, INDIVIDUAL LEARNING PLANS AND INDIVIDUAL </w:t>
      </w:r>
      <w:r w:rsidRPr="005908CB" w:rsidR="00EF2EE5">
        <w:rPr>
          <w:b/>
          <w:bCs/>
          <w:sz w:val="24"/>
          <w:szCs w:val="24"/>
        </w:rPr>
        <w:t>LEARN</w:t>
      </w:r>
      <w:r w:rsidR="00E0019F">
        <w:rPr>
          <w:b/>
          <w:bCs/>
          <w:sz w:val="24"/>
          <w:szCs w:val="24"/>
        </w:rPr>
        <w:t>ER</w:t>
      </w:r>
      <w:r w:rsidRPr="005908CB">
        <w:rPr>
          <w:b/>
          <w:bCs/>
          <w:sz w:val="24"/>
          <w:szCs w:val="24"/>
        </w:rPr>
        <w:t xml:space="preserve"> </w:t>
      </w:r>
      <w:r w:rsidR="00913226">
        <w:rPr>
          <w:b/>
          <w:bCs/>
          <w:sz w:val="24"/>
          <w:szCs w:val="24"/>
        </w:rPr>
        <w:t>P</w:t>
      </w:r>
      <w:r w:rsidR="00E0019F">
        <w:rPr>
          <w:b/>
          <w:bCs/>
          <w:sz w:val="24"/>
          <w:szCs w:val="24"/>
        </w:rPr>
        <w:t>ROGRESS</w:t>
      </w:r>
      <w:r w:rsidR="00913226">
        <w:rPr>
          <w:b/>
          <w:bCs/>
          <w:sz w:val="24"/>
          <w:szCs w:val="24"/>
        </w:rPr>
        <w:t xml:space="preserve"> </w:t>
      </w:r>
      <w:r w:rsidRPr="005908CB">
        <w:rPr>
          <w:b/>
          <w:bCs/>
          <w:sz w:val="24"/>
          <w:szCs w:val="24"/>
        </w:rPr>
        <w:t>REVIEWS</w:t>
      </w:r>
    </w:p>
    <w:p w:rsidRPr="005908CB" w:rsidR="005908CB" w:rsidP="005908CB" w:rsidRDefault="005908CB" w14:paraId="2B048B02" w14:textId="77777777">
      <w:pPr>
        <w:rPr>
          <w:sz w:val="20"/>
          <w:szCs w:val="20"/>
        </w:rPr>
      </w:pPr>
    </w:p>
    <w:p w:rsidRPr="005908CB" w:rsidR="00C23FE4" w:rsidP="00FF6722" w:rsidRDefault="00D336ED" w14:paraId="3634296F" w14:textId="77777777">
      <w:pPr>
        <w:pStyle w:val="Heading2"/>
        <w:spacing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>Purpose</w:t>
      </w:r>
    </w:p>
    <w:p w:rsidR="00C23FE4" w:rsidP="00FF6722" w:rsidRDefault="00D336ED" w14:paraId="39DE1E7C" w14:textId="45D7E710">
      <w:pPr>
        <w:pStyle w:val="Heading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4AC">
        <w:rPr>
          <w:rFonts w:asciiTheme="minorHAnsi" w:hAnsiTheme="minorHAnsi" w:cstheme="minorHAnsi"/>
          <w:color w:val="000000" w:themeColor="text1"/>
          <w:sz w:val="22"/>
          <w:szCs w:val="22"/>
        </w:rPr>
        <w:t>Initial Needs Assessment (INA)</w:t>
      </w:r>
      <w:r w:rsidRPr="00E154AC" w:rsidR="00EF2EE5">
        <w:rPr>
          <w:rFonts w:asciiTheme="minorHAnsi" w:hAnsiTheme="minorHAnsi" w:cstheme="minorHAnsi"/>
          <w:color w:val="000000" w:themeColor="text1"/>
          <w:sz w:val="22"/>
          <w:szCs w:val="22"/>
        </w:rPr>
        <w:t>, Individual Learning Plan (ILP) and Individual Learn</w:t>
      </w:r>
      <w:r w:rsidR="00D76D2F">
        <w:rPr>
          <w:rFonts w:asciiTheme="minorHAnsi" w:hAnsiTheme="minorHAnsi" w:cstheme="minorHAnsi"/>
          <w:color w:val="000000" w:themeColor="text1"/>
          <w:sz w:val="22"/>
          <w:szCs w:val="22"/>
        </w:rPr>
        <w:t>er Progress</w:t>
      </w:r>
      <w:r w:rsidR="006648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154AC" w:rsidR="00EF2E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Reviews </w:t>
      </w:r>
      <w:r w:rsidR="005A22A3">
        <w:rPr>
          <w:rFonts w:asciiTheme="minorHAnsi" w:hAnsiTheme="minorHAnsi" w:cstheme="minorHAnsi"/>
          <w:color w:val="000000" w:themeColor="text1"/>
          <w:sz w:val="22"/>
          <w:szCs w:val="22"/>
        </w:rPr>
        <w:t>(IL</w:t>
      </w:r>
      <w:r w:rsidR="0066480A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5A22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R) </w:t>
      </w:r>
      <w:r w:rsidRPr="00E154AC" w:rsidR="00EF2E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central to high-quality apprenticeships.  The Initial Needs Assessment </w:t>
      </w:r>
      <w:r w:rsidRPr="00E154AC" w:rsidR="00E154AC">
        <w:rPr>
          <w:rFonts w:asciiTheme="minorHAnsi" w:hAnsiTheme="minorHAnsi" w:cstheme="minorHAnsi"/>
          <w:color w:val="000000" w:themeColor="text1"/>
          <w:sz w:val="22"/>
          <w:szCs w:val="22"/>
        </w:rPr>
        <w:t>determines the eligibility of the apprentice for the apprenticeship programme and funding</w:t>
      </w:r>
      <w:r w:rsidR="00F61684">
        <w:rPr>
          <w:rFonts w:asciiTheme="minorHAnsi" w:hAnsiTheme="minorHAnsi" w:cstheme="minorHAnsi"/>
          <w:color w:val="000000" w:themeColor="text1"/>
          <w:sz w:val="22"/>
          <w:szCs w:val="22"/>
        </w:rPr>
        <w:t>, it also</w:t>
      </w:r>
      <w:r w:rsidRPr="00E154AC" w:rsidR="00E154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identifies the apprentices starting point and potential.   This facilitates the development of the Individual Learning Plan that builds on </w:t>
      </w:r>
      <w:r w:rsidR="00E154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apprentices </w:t>
      </w:r>
      <w:r w:rsidRPr="00E154AC" w:rsidR="00E154AC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previous learning, teaching and experience</w:t>
      </w:r>
      <w:r w:rsidRPr="00E154AC" w:rsidR="00E154AC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154AC" w:rsidR="00E154AC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to develop the new</w:t>
      </w:r>
      <w:r w:rsidRPr="00E154AC" w:rsidR="00E154AC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154AC" w:rsidR="00E154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knowledge and skills required to be occupationally competent. 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Individual Learner Reviews focus on the progress of the apprentice across the apprenticeship.  These key elements of an apprenticeship ensur</w:t>
      </w:r>
      <w:r w:rsidR="00F6168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individual apprentices make good progress from their starting point as they pro</w:t>
      </w:r>
      <w:r w:rsidR="006F72A0">
        <w:rPr>
          <w:rFonts w:asciiTheme="minorHAnsi" w:hAnsiTheme="minorHAnsi" w:cstheme="minorHAnsi"/>
          <w:color w:val="000000" w:themeColor="text1"/>
          <w:sz w:val="22"/>
          <w:szCs w:val="22"/>
        </w:rPr>
        <w:t>ceed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towards the </w:t>
      </w:r>
      <w:r w:rsidR="00F61684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ateway and the End Point Assessment. </w:t>
      </w:r>
      <w:r w:rsidR="00C23FE4">
        <w:t xml:space="preserve"> 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>The University robust</w:t>
      </w:r>
      <w:r w:rsidR="00ED6120">
        <w:rPr>
          <w:rFonts w:asciiTheme="minorHAnsi" w:hAnsiTheme="minorHAnsi" w:cstheme="minorHAnsi"/>
          <w:color w:val="000000" w:themeColor="text1"/>
          <w:sz w:val="22"/>
          <w:szCs w:val="22"/>
        </w:rPr>
        <w:t>ly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quality assur</w:t>
      </w:r>
      <w:r w:rsidR="00ED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these processes </w:t>
      </w:r>
      <w:r w:rsidR="00ED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ensure 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D6120">
        <w:rPr>
          <w:rFonts w:asciiTheme="minorHAnsi" w:hAnsiTheme="minorHAnsi" w:cstheme="minorHAnsi"/>
          <w:color w:val="000000" w:themeColor="text1"/>
          <w:sz w:val="22"/>
          <w:szCs w:val="22"/>
        </w:rPr>
        <w:t>hey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stand</w:t>
      </w:r>
      <w:r w:rsidR="006544D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C23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 to internal and external scrutiny and confirm compliance. </w:t>
      </w:r>
    </w:p>
    <w:p w:rsidR="006544D9" w:rsidP="00FF6722" w:rsidRDefault="006544D9" w14:paraId="77D0BA7D" w14:textId="77777777">
      <w:pPr>
        <w:pStyle w:val="Heading2"/>
        <w:spacing w:before="0" w:line="240" w:lineRule="auto"/>
        <w:jc w:val="both"/>
      </w:pPr>
    </w:p>
    <w:p w:rsidRPr="005908CB" w:rsidR="006544D9" w:rsidP="00FF6722" w:rsidRDefault="006544D9" w14:paraId="42779C31" w14:textId="4FC5F18E">
      <w:pPr>
        <w:pStyle w:val="Heading2"/>
        <w:spacing w:before="0" w:line="240" w:lineRule="auto"/>
        <w:jc w:val="both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>Responsibility</w:t>
      </w:r>
    </w:p>
    <w:p w:rsidR="006544D9" w:rsidP="00FF6722" w:rsidRDefault="006544D9" w14:paraId="1B820A4D" w14:textId="503428F8">
      <w:pPr>
        <w:spacing w:after="0" w:line="240" w:lineRule="auto"/>
        <w:jc w:val="both"/>
      </w:pPr>
      <w:r>
        <w:t xml:space="preserve">The Head of Department is responsible for ensuring that quality assurance processes are implemented and their impact, with noteworthy practice or concerns escalated to the </w:t>
      </w:r>
      <w:r w:rsidR="00CF30C4">
        <w:t>Deputy/</w:t>
      </w:r>
      <w:r>
        <w:t>Head of School</w:t>
      </w:r>
      <w:r w:rsidR="00F61684">
        <w:t xml:space="preserve">, </w:t>
      </w:r>
      <w:r>
        <w:t>College Director for LTQE</w:t>
      </w:r>
      <w:r w:rsidR="00F61684">
        <w:t xml:space="preserve"> and employers</w:t>
      </w:r>
      <w:r>
        <w:t xml:space="preserve">. </w:t>
      </w:r>
    </w:p>
    <w:p w:rsidR="00D336ED" w:rsidP="00FF6722" w:rsidRDefault="00D336ED" w14:paraId="4BF8B025" w14:textId="46BC1ADC">
      <w:pPr>
        <w:spacing w:after="0" w:line="240" w:lineRule="auto"/>
      </w:pPr>
    </w:p>
    <w:p w:rsidRPr="005908CB" w:rsidR="00F054A6" w:rsidP="00FF6722" w:rsidRDefault="006544D9" w14:paraId="6616BE9A" w14:textId="01583793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>Key Quality Assurance</w:t>
      </w:r>
      <w:r w:rsidRPr="005908CB" w:rsidR="00D336ED">
        <w:rPr>
          <w:b/>
          <w:bCs/>
          <w:sz w:val="24"/>
          <w:szCs w:val="24"/>
        </w:rPr>
        <w:t xml:space="preserve"> Process</w:t>
      </w:r>
      <w:r w:rsidRPr="005908CB">
        <w:rPr>
          <w:b/>
          <w:bCs/>
          <w:sz w:val="24"/>
          <w:szCs w:val="24"/>
        </w:rPr>
        <w:t>es</w:t>
      </w:r>
    </w:p>
    <w:p w:rsidRPr="00FF6722" w:rsidR="00FF6722" w:rsidP="00FF6722" w:rsidRDefault="00FF6722" w14:paraId="3058A7DE" w14:textId="77777777">
      <w:pPr>
        <w:spacing w:after="0" w:line="240" w:lineRule="auto"/>
      </w:pPr>
    </w:p>
    <w:p w:rsidRPr="005908CB" w:rsidR="006544D9" w:rsidP="00FF6722" w:rsidRDefault="006544D9" w14:paraId="7D2321D9" w14:textId="4DA8CC2B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Staff </w:t>
      </w:r>
      <w:r w:rsidRPr="005908CB" w:rsidR="001018C4">
        <w:rPr>
          <w:b/>
          <w:bCs/>
          <w:sz w:val="24"/>
          <w:szCs w:val="24"/>
        </w:rPr>
        <w:t>d</w:t>
      </w:r>
      <w:r w:rsidRPr="005908CB">
        <w:rPr>
          <w:b/>
          <w:bCs/>
          <w:sz w:val="24"/>
          <w:szCs w:val="24"/>
        </w:rPr>
        <w:t>evelopment</w:t>
      </w:r>
      <w:r w:rsidRPr="005908CB" w:rsidR="001018C4">
        <w:rPr>
          <w:b/>
          <w:bCs/>
          <w:sz w:val="24"/>
          <w:szCs w:val="24"/>
        </w:rPr>
        <w:t>/training</w:t>
      </w:r>
    </w:p>
    <w:p w:rsidRPr="005A22A3" w:rsidR="00F054A6" w:rsidP="005A22A3" w:rsidRDefault="0026100E" w14:paraId="1E574901" w14:textId="639AEAE9">
      <w:pPr>
        <w:spacing w:after="0" w:line="240" w:lineRule="auto"/>
        <w:jc w:val="both"/>
      </w:pPr>
      <w:r w:rsidRPr="005A22A3">
        <w:t>All staff involved in completing INAs, ILPs, IL</w:t>
      </w:r>
      <w:r w:rsidR="0066480A">
        <w:t>P</w:t>
      </w:r>
      <w:r w:rsidRPr="005A22A3">
        <w:t>Rs</w:t>
      </w:r>
      <w:r w:rsidRPr="005A22A3" w:rsidR="00F054A6">
        <w:t xml:space="preserve"> need to receive timely and effective training</w:t>
      </w:r>
      <w:r w:rsidR="00F61684">
        <w:t xml:space="preserve">, including University staff and employers/assessors. </w:t>
      </w:r>
    </w:p>
    <w:p w:rsidR="00F61684" w:rsidP="00FF6722" w:rsidRDefault="00F61684" w14:paraId="2DCBA311" w14:textId="77777777">
      <w:pPr>
        <w:pStyle w:val="Heading2"/>
        <w:spacing w:before="0" w:line="240" w:lineRule="auto"/>
        <w:rPr>
          <w:b/>
          <w:bCs/>
          <w:sz w:val="24"/>
          <w:szCs w:val="24"/>
        </w:rPr>
      </w:pPr>
    </w:p>
    <w:p w:rsidRPr="005908CB" w:rsidR="0026100E" w:rsidP="00FF6722" w:rsidRDefault="006544D9" w14:paraId="4A7E6AF2" w14:textId="2CBEC656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Accurate and </w:t>
      </w:r>
      <w:r w:rsidRPr="005908CB" w:rsidR="001018C4">
        <w:rPr>
          <w:b/>
          <w:bCs/>
          <w:sz w:val="24"/>
          <w:szCs w:val="24"/>
        </w:rPr>
        <w:t>t</w:t>
      </w:r>
      <w:r w:rsidRPr="005908CB">
        <w:rPr>
          <w:b/>
          <w:bCs/>
          <w:sz w:val="24"/>
          <w:szCs w:val="24"/>
        </w:rPr>
        <w:t xml:space="preserve">imely </w:t>
      </w:r>
      <w:r w:rsidRPr="005908CB" w:rsidR="001018C4">
        <w:rPr>
          <w:b/>
          <w:bCs/>
          <w:sz w:val="24"/>
          <w:szCs w:val="24"/>
        </w:rPr>
        <w:t>c</w:t>
      </w:r>
      <w:r w:rsidRPr="005908CB">
        <w:rPr>
          <w:b/>
          <w:bCs/>
          <w:sz w:val="24"/>
          <w:szCs w:val="24"/>
        </w:rPr>
        <w:t xml:space="preserve">ompletion </w:t>
      </w:r>
      <w:r w:rsidRPr="005908CB" w:rsidR="0026100E">
        <w:rPr>
          <w:b/>
          <w:bCs/>
          <w:sz w:val="24"/>
          <w:szCs w:val="24"/>
        </w:rPr>
        <w:t xml:space="preserve">and </w:t>
      </w:r>
      <w:r w:rsidRPr="005908CB" w:rsidR="001018C4">
        <w:rPr>
          <w:b/>
          <w:bCs/>
          <w:sz w:val="24"/>
          <w:szCs w:val="24"/>
        </w:rPr>
        <w:t>c</w:t>
      </w:r>
      <w:r w:rsidRPr="005908CB" w:rsidR="0026100E">
        <w:rPr>
          <w:b/>
          <w:bCs/>
          <w:sz w:val="24"/>
          <w:szCs w:val="24"/>
        </w:rPr>
        <w:t>entral storage</w:t>
      </w:r>
    </w:p>
    <w:p w:rsidRPr="005A22A3" w:rsidR="00F054A6" w:rsidP="006F72A0" w:rsidRDefault="006F72A0" w14:paraId="21BF7BDC" w14:textId="783B8423">
      <w:pPr>
        <w:spacing w:after="0" w:line="240" w:lineRule="auto"/>
        <w:jc w:val="both"/>
      </w:pPr>
      <w:r>
        <w:t xml:space="preserve">Clearly identified timeframes for the completion of documentation, by appropriately trained staff using version-controlled templates.  </w:t>
      </w:r>
      <w:r w:rsidRPr="005A22A3" w:rsidR="00F054A6">
        <w:t xml:space="preserve">All completed documentation stored electronically, with a central repository </w:t>
      </w:r>
      <w:r>
        <w:t xml:space="preserve">and shared as appropriate to facilitate high quality individualised education, to meet funding requirements and ensure compliance. </w:t>
      </w:r>
    </w:p>
    <w:p w:rsidRPr="006F72A0" w:rsidR="006F72A0" w:rsidP="006F72A0" w:rsidRDefault="006F72A0" w14:paraId="7AD77919" w14:textId="77777777">
      <w:pPr>
        <w:spacing w:after="0" w:line="240" w:lineRule="auto"/>
        <w:rPr>
          <w:sz w:val="20"/>
          <w:szCs w:val="20"/>
        </w:rPr>
      </w:pPr>
    </w:p>
    <w:p w:rsidRPr="005908CB" w:rsidR="0026100E" w:rsidP="00FF6722" w:rsidRDefault="0026100E" w14:paraId="699FF24A" w14:textId="5FAD7937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Audit and moderation </w:t>
      </w:r>
    </w:p>
    <w:p w:rsidR="0026100E" w:rsidP="006F72A0" w:rsidRDefault="006F72A0" w14:paraId="17F260BF" w14:textId="14A91361">
      <w:pPr>
        <w:spacing w:line="240" w:lineRule="auto"/>
        <w:jc w:val="both"/>
      </w:pPr>
      <w:r>
        <w:t>A</w:t>
      </w:r>
      <w:r w:rsidR="0065729C">
        <w:t>ll INAs are audited for compliance, with a</w:t>
      </w:r>
      <w:r>
        <w:t xml:space="preserve"> </w:t>
      </w:r>
      <w:r w:rsidR="0065729C">
        <w:t xml:space="preserve">minimum of 10% </w:t>
      </w:r>
      <w:r>
        <w:t>sample of completed ILP</w:t>
      </w:r>
      <w:r w:rsidR="00F61684">
        <w:t>s</w:t>
      </w:r>
      <w:r>
        <w:t xml:space="preserve"> and IL</w:t>
      </w:r>
      <w:r w:rsidR="0066480A">
        <w:t>P</w:t>
      </w:r>
      <w:r>
        <w:t xml:space="preserve">Rs </w:t>
      </w:r>
      <w:r w:rsidR="00FF6722">
        <w:t xml:space="preserve">moderated </w:t>
      </w:r>
      <w:r w:rsidR="00D71D63">
        <w:t xml:space="preserve">at least </w:t>
      </w:r>
      <w:r w:rsidR="00FF6722">
        <w:t>annually using a</w:t>
      </w:r>
      <w:r w:rsidR="0065729C">
        <w:t xml:space="preserve"> </w:t>
      </w:r>
      <w:r w:rsidR="00FF6722">
        <w:t>subject/course designed checklist</w:t>
      </w:r>
      <w:r w:rsidR="0065729C">
        <w:t>/moderation form</w:t>
      </w:r>
      <w:r>
        <w:t>.</w:t>
      </w:r>
    </w:p>
    <w:p w:rsidRPr="005908CB" w:rsidR="0026100E" w:rsidP="00FF6722" w:rsidRDefault="0026100E" w14:paraId="4C8D6324" w14:textId="77777777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Identification and sharing of good practice </w:t>
      </w:r>
    </w:p>
    <w:p w:rsidR="006F72A0" w:rsidP="006F72A0" w:rsidRDefault="00F61684" w14:paraId="6D5D5316" w14:textId="35593074">
      <w:pPr>
        <w:spacing w:after="0" w:line="240" w:lineRule="auto"/>
        <w:jc w:val="both"/>
      </w:pPr>
      <w:r>
        <w:t xml:space="preserve">Good practice identified from </w:t>
      </w:r>
      <w:r w:rsidR="006F72A0">
        <w:t>observation/audit/moderation process</w:t>
      </w:r>
      <w:r>
        <w:t>es</w:t>
      </w:r>
      <w:r w:rsidR="006F72A0">
        <w:t xml:space="preserve"> a</w:t>
      </w:r>
      <w:r w:rsidR="0065729C">
        <w:t>re</w:t>
      </w:r>
      <w:r w:rsidR="006F72A0">
        <w:t xml:space="preserve"> shared with Head of Department</w:t>
      </w:r>
      <w:r w:rsidR="00637701">
        <w:t xml:space="preserve">, </w:t>
      </w:r>
      <w:r w:rsidR="006F72A0">
        <w:t xml:space="preserve">LTQE, </w:t>
      </w:r>
      <w:r w:rsidR="00637701">
        <w:t xml:space="preserve">Apprenticeship Programmes Sub-Committee, </w:t>
      </w:r>
      <w:r w:rsidR="006F72A0">
        <w:t>staff development</w:t>
      </w:r>
      <w:r>
        <w:t xml:space="preserve"> meetings</w:t>
      </w:r>
      <w:r w:rsidR="006F72A0">
        <w:t xml:space="preserve"> and annual </w:t>
      </w:r>
      <w:r w:rsidR="00A155A3">
        <w:t>review</w:t>
      </w:r>
      <w:r w:rsidR="006F72A0">
        <w:t xml:space="preserve"> event</w:t>
      </w:r>
      <w:r>
        <w:t>s</w:t>
      </w:r>
      <w:r w:rsidR="006F72A0">
        <w:t>.</w:t>
      </w:r>
    </w:p>
    <w:p w:rsidRPr="006F72A0" w:rsidR="0026100E" w:rsidP="005A22A3" w:rsidRDefault="0026100E" w14:paraId="7E6F1D70" w14:textId="77777777">
      <w:pPr>
        <w:pStyle w:val="Heading2"/>
        <w:spacing w:before="0" w:line="240" w:lineRule="auto"/>
        <w:rPr>
          <w:sz w:val="20"/>
          <w:szCs w:val="20"/>
        </w:rPr>
      </w:pPr>
    </w:p>
    <w:p w:rsidRPr="005908CB" w:rsidR="0026100E" w:rsidP="00FF6722" w:rsidRDefault="0026100E" w14:paraId="1F09D5C5" w14:textId="67212AAD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5908CB">
        <w:rPr>
          <w:b/>
          <w:bCs/>
          <w:sz w:val="24"/>
          <w:szCs w:val="24"/>
        </w:rPr>
        <w:t xml:space="preserve">Impact </w:t>
      </w:r>
    </w:p>
    <w:p w:rsidR="00D336ED" w:rsidP="005908CB" w:rsidRDefault="005908CB" w14:paraId="09F452D6" w14:textId="1E11A7C0">
      <w:pPr>
        <w:spacing w:after="0" w:line="240" w:lineRule="auto"/>
        <w:jc w:val="both"/>
      </w:pPr>
      <w:r>
        <w:t xml:space="preserve">Involvement of </w:t>
      </w:r>
      <w:r w:rsidRPr="006F72A0" w:rsidR="005A22A3">
        <w:t>course team, employers and apprentices focusing on the impact of the INA</w:t>
      </w:r>
      <w:r w:rsidR="00F61684">
        <w:t xml:space="preserve">, </w:t>
      </w:r>
      <w:r w:rsidRPr="006F72A0" w:rsidR="005A22A3">
        <w:t>ILP</w:t>
      </w:r>
      <w:r w:rsidR="00F61684">
        <w:t xml:space="preserve"> and </w:t>
      </w:r>
      <w:r w:rsidRPr="006F72A0" w:rsidR="005A22A3">
        <w:t>IL</w:t>
      </w:r>
      <w:r w:rsidR="00913226">
        <w:t>P</w:t>
      </w:r>
      <w:r w:rsidRPr="006F72A0" w:rsidR="005A22A3">
        <w:t>R processes on apprentice progression from their starting point</w:t>
      </w:r>
      <w:r>
        <w:t xml:space="preserve">, via annual </w:t>
      </w:r>
      <w:r w:rsidR="00A155A3">
        <w:t>review</w:t>
      </w:r>
      <w:r>
        <w:t xml:space="preserve"> event, course AER and individual apprentice impact studies</w:t>
      </w:r>
      <w:r w:rsidRPr="006F72A0" w:rsidR="005A22A3">
        <w:t>.</w:t>
      </w:r>
    </w:p>
    <w:p w:rsidR="005908CB" w:rsidP="005908CB" w:rsidRDefault="005908CB" w14:paraId="4CA3CF1C" w14:textId="434D5364">
      <w:pPr>
        <w:spacing w:after="0" w:line="240" w:lineRule="auto"/>
        <w:jc w:val="both"/>
      </w:pPr>
    </w:p>
    <w:p w:rsidR="005908CB" w:rsidP="005908CB" w:rsidRDefault="005908CB" w14:paraId="08850497" w14:textId="720DBF7D">
      <w:pPr>
        <w:spacing w:after="0" w:line="240" w:lineRule="auto"/>
        <w:jc w:val="both"/>
      </w:pPr>
    </w:p>
    <w:p w:rsidR="005908CB" w:rsidP="005908CB" w:rsidRDefault="005908CB" w14:paraId="147805D0" w14:textId="5B83C983">
      <w:pPr>
        <w:spacing w:after="0" w:line="240" w:lineRule="auto"/>
        <w:jc w:val="both"/>
      </w:pPr>
    </w:p>
    <w:p w:rsidR="005908CB" w:rsidP="005908CB" w:rsidRDefault="005908CB" w14:paraId="69D69555" w14:textId="682BC98C">
      <w:pPr>
        <w:spacing w:after="0" w:line="240" w:lineRule="auto"/>
        <w:jc w:val="both"/>
      </w:pPr>
    </w:p>
    <w:p w:rsidR="005908CB" w:rsidP="005908CB" w:rsidRDefault="005908CB" w14:paraId="72E000BC" w14:textId="16891653">
      <w:pPr>
        <w:spacing w:after="0" w:line="240" w:lineRule="auto"/>
        <w:jc w:val="both"/>
      </w:pPr>
    </w:p>
    <w:p w:rsidR="005908CB" w:rsidP="005908CB" w:rsidRDefault="005908CB" w14:paraId="242A2287" w14:textId="7F7B6D9B">
      <w:pPr>
        <w:spacing w:after="0" w:line="240" w:lineRule="auto"/>
        <w:jc w:val="both"/>
      </w:pPr>
    </w:p>
    <w:p w:rsidR="005908CB" w:rsidP="00C90A2E" w:rsidRDefault="005908CB" w14:paraId="3D28C7F9" w14:textId="608C6E40">
      <w:pPr>
        <w:spacing w:after="0" w:line="240" w:lineRule="auto"/>
        <w:ind w:firstLine="720"/>
        <w:jc w:val="both"/>
      </w:pPr>
    </w:p>
    <w:p w:rsidR="005908CB" w:rsidP="005908CB" w:rsidRDefault="005908CB" w14:paraId="066E8271" w14:textId="77777777">
      <w:pPr>
        <w:spacing w:after="0" w:line="240" w:lineRule="auto"/>
        <w:jc w:val="both"/>
      </w:pPr>
    </w:p>
    <w:p w:rsidRPr="00D336ED" w:rsidR="00D336ED" w:rsidP="00D336ED" w:rsidRDefault="00D336ED" w14:paraId="5948B0F7" w14:textId="2605386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AEE388" wp14:editId="70754900">
            <wp:simplePos x="0" y="0"/>
            <wp:positionH relativeFrom="margin">
              <wp:posOffset>4895850</wp:posOffset>
            </wp:positionH>
            <wp:positionV relativeFrom="paragraph">
              <wp:posOffset>0</wp:posOffset>
            </wp:positionV>
            <wp:extent cx="16116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47" y="21246"/>
                <wp:lineTo x="21447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298E6B" wp14:editId="5082845E">
            <wp:extent cx="1828800" cy="5334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46" cy="5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CA" w:rsidP="00E948CA" w:rsidRDefault="00CB4556" w14:paraId="319F24DD" w14:textId="77777777">
      <w:pPr>
        <w:spacing w:after="0" w:line="240" w:lineRule="auto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SCHOOL </w:t>
      </w:r>
      <w:r w:rsidRPr="005908CB" w:rsidR="00D336ED">
        <w:rPr>
          <w:b/>
          <w:bCs/>
          <w:color w:val="2F5496" w:themeColor="accent1" w:themeShade="BF"/>
        </w:rPr>
        <w:t xml:space="preserve">QUALITY ASSURANCE </w:t>
      </w:r>
      <w:r>
        <w:rPr>
          <w:b/>
          <w:bCs/>
          <w:color w:val="2F5496" w:themeColor="accent1" w:themeShade="BF"/>
        </w:rPr>
        <w:t>RESPONSIBILITIES</w:t>
      </w:r>
      <w:r w:rsidR="00E948CA">
        <w:rPr>
          <w:b/>
          <w:bCs/>
          <w:color w:val="2F5496" w:themeColor="accent1" w:themeShade="BF"/>
        </w:rPr>
        <w:t xml:space="preserve"> TEMPLATE</w:t>
      </w:r>
    </w:p>
    <w:p w:rsidR="00D336ED" w:rsidP="00E948CA" w:rsidRDefault="00CB4556" w14:paraId="312AE5C5" w14:textId="16D52E04">
      <w:pPr>
        <w:spacing w:after="0" w:line="240" w:lineRule="auto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</w:t>
      </w:r>
      <w:r w:rsidRPr="005908CB" w:rsidR="00D336ED">
        <w:rPr>
          <w:b/>
          <w:bCs/>
          <w:color w:val="2F5496" w:themeColor="accent1" w:themeShade="BF"/>
        </w:rPr>
        <w:t>FOR INITIAL NEEDS ASSESSMENT (INA), INDIVIDUAL LEARNING PLANS (ILP) AND INDIVIDUAL LEARN</w:t>
      </w:r>
      <w:r w:rsidR="004267F2">
        <w:rPr>
          <w:b/>
          <w:bCs/>
          <w:color w:val="2F5496" w:themeColor="accent1" w:themeShade="BF"/>
        </w:rPr>
        <w:t>ER</w:t>
      </w:r>
      <w:r w:rsidRPr="005908CB" w:rsidR="00D336ED">
        <w:rPr>
          <w:b/>
          <w:bCs/>
          <w:color w:val="2F5496" w:themeColor="accent1" w:themeShade="BF"/>
        </w:rPr>
        <w:t xml:space="preserve"> </w:t>
      </w:r>
      <w:r w:rsidR="00913226">
        <w:rPr>
          <w:b/>
          <w:bCs/>
          <w:color w:val="2F5496" w:themeColor="accent1" w:themeShade="BF"/>
        </w:rPr>
        <w:t>P</w:t>
      </w:r>
      <w:r w:rsidR="004267F2">
        <w:rPr>
          <w:b/>
          <w:bCs/>
          <w:color w:val="2F5496" w:themeColor="accent1" w:themeShade="BF"/>
        </w:rPr>
        <w:t xml:space="preserve">ROGRESS </w:t>
      </w:r>
      <w:r w:rsidRPr="005908CB" w:rsidR="00D336ED">
        <w:rPr>
          <w:b/>
          <w:bCs/>
          <w:color w:val="2F5496" w:themeColor="accent1" w:themeShade="BF"/>
        </w:rPr>
        <w:t>REVIEWS (IL</w:t>
      </w:r>
      <w:r w:rsidR="00913226">
        <w:rPr>
          <w:b/>
          <w:bCs/>
          <w:color w:val="2F5496" w:themeColor="accent1" w:themeShade="BF"/>
        </w:rPr>
        <w:t>P</w:t>
      </w:r>
      <w:r w:rsidRPr="005908CB" w:rsidR="00D336ED">
        <w:rPr>
          <w:b/>
          <w:bCs/>
          <w:color w:val="2F5496" w:themeColor="accent1" w:themeShade="BF"/>
        </w:rPr>
        <w:t>R)</w:t>
      </w:r>
    </w:p>
    <w:p w:rsidR="00FF254C" w:rsidP="00E948CA" w:rsidRDefault="00FF254C" w14:paraId="0B531750" w14:textId="77777777">
      <w:pPr>
        <w:spacing w:after="0" w:line="240" w:lineRule="auto"/>
        <w:jc w:val="center"/>
        <w:rPr>
          <w:b/>
          <w:bCs/>
          <w:color w:val="2F5496" w:themeColor="accent1" w:themeShade="BF"/>
        </w:rPr>
      </w:pPr>
    </w:p>
    <w:p w:rsidRPr="00EB746F" w:rsidR="00492EF3" w:rsidP="00E948CA" w:rsidRDefault="00492EF3" w14:paraId="629F7574" w14:textId="41356973">
      <w:pPr>
        <w:spacing w:after="0" w:line="240" w:lineRule="auto"/>
        <w:jc w:val="center"/>
      </w:pPr>
      <w:r w:rsidRPr="00EB746F">
        <w:t xml:space="preserve">The template should be </w:t>
      </w:r>
      <w:r w:rsidRPr="00EB746F" w:rsidR="00C96106">
        <w:rPr>
          <w:rFonts w:cstheme="minorHAnsi"/>
        </w:rPr>
        <w:t>completed as supplementary evidence for the approval process</w:t>
      </w:r>
      <w:r w:rsidRPr="00EB746F" w:rsidR="00EB746F">
        <w:rPr>
          <w:rFonts w:cstheme="minorHAnsi"/>
        </w:rPr>
        <w:t>.</w:t>
      </w:r>
    </w:p>
    <w:p w:rsidRPr="00FF254C" w:rsidR="00B81257" w:rsidP="00E948CA" w:rsidRDefault="00B81257" w14:paraId="4614EBB9" w14:textId="0E7361C3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FF254C">
        <w:rPr>
          <w:i/>
          <w:iCs/>
          <w:sz w:val="20"/>
          <w:szCs w:val="20"/>
        </w:rPr>
        <w:t>Guidance on completing the responsibilities template is provided below in italics.</w:t>
      </w:r>
    </w:p>
    <w:p w:rsidRPr="00C349A5" w:rsidR="00FF254C" w:rsidP="00E948CA" w:rsidRDefault="00FF254C" w14:paraId="7B7A1DC6" w14:textId="77777777">
      <w:pPr>
        <w:spacing w:after="0" w:line="240" w:lineRule="auto"/>
        <w:jc w:val="center"/>
        <w:rPr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0"/>
        <w:gridCol w:w="2240"/>
      </w:tblGrid>
      <w:tr w:rsidRPr="005908CB" w:rsidR="0065729C" w:rsidTr="0065729C" w14:paraId="329C911B" w14:textId="59442866">
        <w:tc>
          <w:tcPr>
            <w:tcW w:w="1667" w:type="pct"/>
            <w:shd w:val="clear" w:color="auto" w:fill="FFF2CC" w:themeFill="accent4" w:themeFillTint="33"/>
          </w:tcPr>
          <w:p w:rsidRPr="005908CB" w:rsidR="0065729C" w:rsidP="00D336ED" w:rsidRDefault="0065729C" w14:paraId="55BD8D68" w14:textId="77777777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>Staff development</w:t>
            </w:r>
          </w:p>
          <w:p w:rsidRPr="005908CB" w:rsidR="0065729C" w:rsidP="00D336ED" w:rsidRDefault="0065729C" w14:paraId="63E6BCA0" w14:textId="411F6F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Training for all staff involved in completing INAs, ILPs, IL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 xml:space="preserve">Rs including University of Worcester (UW) provided training for employers/assessors </w:t>
            </w:r>
          </w:p>
          <w:p w:rsidRPr="005908CB" w:rsidR="0065729C" w:rsidP="00D336ED" w:rsidRDefault="0065729C" w14:paraId="25DF2AE8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To include examples of good practice, annotated examples of how to complete the documentation and written guidance/checklist</w:t>
            </w:r>
          </w:p>
          <w:p w:rsidRPr="005908CB" w:rsidR="0065729C" w:rsidP="00D336ED" w:rsidRDefault="0065729C" w14:paraId="7D7DC584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Annual updates</w:t>
            </w:r>
          </w:p>
          <w:p w:rsidRPr="005908CB" w:rsidR="0065729C" w:rsidP="00D336ED" w:rsidRDefault="0065729C" w14:paraId="5D0F64D8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Record of training maintained</w:t>
            </w:r>
          </w:p>
        </w:tc>
        <w:tc>
          <w:tcPr>
            <w:tcW w:w="2262" w:type="pct"/>
            <w:shd w:val="clear" w:color="auto" w:fill="FFF2CC" w:themeFill="accent4" w:themeFillTint="33"/>
          </w:tcPr>
          <w:p w:rsidR="0065729C" w:rsidP="00C349A5" w:rsidRDefault="0065729C" w14:paraId="5324E0D7" w14:textId="737979B5">
            <w:pPr>
              <w:spacing w:after="0" w:line="240" w:lineRule="auto"/>
              <w:ind w:left="331"/>
              <w:rPr>
                <w:rFonts w:cstheme="minorHAnsi"/>
                <w:b/>
                <w:bCs/>
                <w:sz w:val="18"/>
                <w:szCs w:val="18"/>
              </w:rPr>
            </w:pPr>
            <w:r w:rsidRPr="00EB746F">
              <w:rPr>
                <w:rFonts w:cstheme="minorHAnsi"/>
                <w:b/>
                <w:bCs/>
                <w:sz w:val="18"/>
                <w:szCs w:val="18"/>
              </w:rPr>
              <w:t>School Responsibilities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65729C" w:rsidP="00C349A5" w:rsidRDefault="0065729C" w14:paraId="163F0AB2" w14:textId="77777777">
            <w:pPr>
              <w:spacing w:after="0" w:line="240" w:lineRule="auto"/>
              <w:ind w:left="331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65729C" w:rsidP="00D71D63" w:rsidRDefault="0065729C" w14:paraId="13C62294" w14:textId="7FDF7F12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INA/ILP t</w:t>
            </w:r>
            <w:r w:rsidRPr="00D71D63">
              <w:rPr>
                <w:rFonts w:cstheme="minorHAnsi"/>
                <w:i/>
                <w:iCs/>
                <w:sz w:val="18"/>
                <w:szCs w:val="18"/>
              </w:rPr>
              <w:t xml:space="preserve">raining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provided by HoD/DHoS for UW staff prior to recruitment.  Training arranged and attendance recorded by the apprenticeship administrator.</w:t>
            </w:r>
          </w:p>
          <w:p w:rsidR="0065729C" w:rsidP="00D71D63" w:rsidRDefault="0065729C" w14:paraId="3C1AD96A" w14:textId="77777777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="0065729C" w:rsidP="00D71D63" w:rsidRDefault="0065729C" w14:paraId="15C94A29" w14:textId="49DDC2FA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ILPR training provided by HoD/DHoS for UW staff annually.  Training arranged and attendance recorded by the apprenticeship administrator.</w:t>
            </w:r>
          </w:p>
          <w:p w:rsidR="0065729C" w:rsidP="00D71D63" w:rsidRDefault="0065729C" w14:paraId="5B8DBCF2" w14:textId="67967EBB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="0065729C" w:rsidP="00D71D63" w:rsidRDefault="0065729C" w14:paraId="029D0553" w14:textId="6CA81CFA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INA/ILP/ILPR training provided by a university representative for employers.  Training arranged and attendance recorded by an administrator.</w:t>
            </w:r>
          </w:p>
          <w:p w:rsidR="0065729C" w:rsidP="00D71D63" w:rsidRDefault="0065729C" w14:paraId="636716AE" w14:textId="77777777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D71D63" w:rsidR="0065729C" w:rsidP="00D71D63" w:rsidRDefault="0065729C" w14:paraId="6C288339" w14:textId="5D612947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Attendance at training to take place annually with follow up via HoD and through employer reviews. </w:t>
            </w:r>
          </w:p>
        </w:tc>
        <w:tc>
          <w:tcPr>
            <w:tcW w:w="1071" w:type="pct"/>
            <w:shd w:val="clear" w:color="auto" w:fill="FFF2CC" w:themeFill="accent4" w:themeFillTint="33"/>
          </w:tcPr>
          <w:p w:rsidR="0065729C" w:rsidP="00C349A5" w:rsidRDefault="0065729C" w14:paraId="19B8F004" w14:textId="08E5E606">
            <w:pPr>
              <w:spacing w:after="0" w:line="240" w:lineRule="auto"/>
              <w:ind w:left="33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When?</w:t>
            </w:r>
          </w:p>
          <w:p w:rsidR="0065729C" w:rsidP="00C349A5" w:rsidRDefault="0065729C" w14:paraId="32C012FF" w14:textId="77777777">
            <w:pPr>
              <w:spacing w:after="0" w:line="240" w:lineRule="auto"/>
              <w:ind w:left="33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729C" w:rsidP="0065729C" w:rsidRDefault="0065729C" w14:paraId="3E5D60A1" w14:textId="777777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729C">
              <w:rPr>
                <w:rFonts w:cstheme="minorHAnsi"/>
                <w:sz w:val="18"/>
                <w:szCs w:val="18"/>
              </w:rPr>
              <w:t>Annually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65729C" w:rsidP="0065729C" w:rsidRDefault="0065729C" w14:paraId="7B44E0A7" w14:textId="777777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Pr="0065729C" w:rsidR="0065729C" w:rsidP="0065729C" w:rsidRDefault="0065729C" w14:paraId="26CEB503" w14:textId="1F50D6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staff to complete annually</w:t>
            </w:r>
          </w:p>
        </w:tc>
      </w:tr>
    </w:tbl>
    <w:p w:rsidRPr="005908CB" w:rsidR="00D336ED" w:rsidP="00D336ED" w:rsidRDefault="00D336ED" w14:paraId="3B777C18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0"/>
        <w:gridCol w:w="2240"/>
      </w:tblGrid>
      <w:tr w:rsidRPr="005908CB" w:rsidR="0065729C" w:rsidTr="0065729C" w14:paraId="627F4BF7" w14:textId="42FF62EE">
        <w:tc>
          <w:tcPr>
            <w:tcW w:w="1667" w:type="pct"/>
            <w:shd w:val="clear" w:color="auto" w:fill="FBE4D5" w:themeFill="accent2" w:themeFillTint="33"/>
          </w:tcPr>
          <w:p w:rsidR="0065729C" w:rsidP="00D336ED" w:rsidRDefault="0065729C" w14:paraId="70EF0D70" w14:textId="0B89FE8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71D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Documentation</w:t>
            </w:r>
          </w:p>
          <w:p w:rsidRPr="00D71D63" w:rsidR="0065729C" w:rsidP="00D336ED" w:rsidRDefault="0065729C" w14:paraId="47F6F6F5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Pr="005908CB" w:rsidR="0065729C" w:rsidP="00D336ED" w:rsidRDefault="0065729C" w14:paraId="71E082E7" w14:textId="2318292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Completed by staff who have undertaken training</w:t>
            </w:r>
          </w:p>
          <w:p w:rsidRPr="005908CB" w:rsidR="0065729C" w:rsidP="00D336ED" w:rsidRDefault="0065729C" w14:paraId="4D0ABE1F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Completed in appropriate version-controlled template</w:t>
            </w:r>
          </w:p>
          <w:p w:rsidRPr="005908CB" w:rsidR="0065729C" w:rsidP="00D336ED" w:rsidRDefault="0065729C" w14:paraId="302C7BD0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All documentation signed and dated by apprentice, employer representative and course representative</w:t>
            </w:r>
          </w:p>
          <w:p w:rsidRPr="005908CB" w:rsidR="0065729C" w:rsidP="00D336ED" w:rsidRDefault="0065729C" w14:paraId="35969828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 xml:space="preserve">Completed and stored electronically  </w:t>
            </w:r>
          </w:p>
          <w:p w:rsidRPr="005908CB" w:rsidR="0065729C" w:rsidP="00D336ED" w:rsidRDefault="0065729C" w14:paraId="6D57F5D8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Central storage/access to documentation, with access for appropriate members of the course team e.g. PATs</w:t>
            </w:r>
          </w:p>
        </w:tc>
        <w:tc>
          <w:tcPr>
            <w:tcW w:w="2262" w:type="pct"/>
            <w:shd w:val="clear" w:color="auto" w:fill="FBE4D5" w:themeFill="accent2" w:themeFillTint="33"/>
          </w:tcPr>
          <w:p w:rsidR="0065729C" w:rsidP="009930EB" w:rsidRDefault="0065729C" w14:paraId="2D362FD1" w14:textId="48F3A34E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Administrator responsible for compliance audit and documentation storage/organisation/sharing </w:t>
            </w:r>
          </w:p>
          <w:p w:rsidR="0065729C" w:rsidP="009930EB" w:rsidRDefault="0065729C" w14:paraId="6DF6A552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038C14A3" w14:textId="2A3138D2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Apprentice applicant completes the INA prior to selection event, shared with employer and UW representative, discussed as part of selection process</w:t>
            </w:r>
          </w:p>
          <w:p w:rsidR="0065729C" w:rsidP="009930EB" w:rsidRDefault="0065729C" w14:paraId="3D5D97D9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7FD54391" w14:textId="5C5ABEAA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Course Lead/university representative/employer support apprentice to complete ILP </w:t>
            </w:r>
          </w:p>
          <w:p w:rsidR="0065729C" w:rsidP="009930EB" w:rsidRDefault="0065729C" w14:paraId="6B6A02F2" w14:textId="5CFFE264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58F03D85" w14:textId="20515C12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University representatives complete ILPRs with employer representative and apprentice </w:t>
            </w:r>
          </w:p>
          <w:p w:rsidR="0065729C" w:rsidP="009930EB" w:rsidRDefault="0065729C" w14:paraId="198DE62E" w14:textId="73C444AE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4B8BBC79" w14:textId="22923C4E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Compliance and quality audits completed</w:t>
            </w:r>
          </w:p>
          <w:p w:rsidR="0065729C" w:rsidP="009930EB" w:rsidRDefault="0065729C" w14:paraId="27A6FA35" w14:textId="4BD99DD8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2F8154DC" w14:textId="0EA1CAE8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Review by HoD</w:t>
            </w:r>
          </w:p>
          <w:p w:rsidR="0065729C" w:rsidP="009930EB" w:rsidRDefault="0065729C" w14:paraId="6FF1D662" w14:textId="2BBA5EF8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267897" w:rsidRDefault="0065729C" w14:paraId="7684D322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Quarterly deadlines aligned with employer reviews, apprentice progress trackers and reporting of KPIs </w:t>
            </w:r>
          </w:p>
          <w:p w:rsidR="0065729C" w:rsidP="009930EB" w:rsidRDefault="0065729C" w14:paraId="27DA2331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Pr="00267897" w:rsidR="0065729C" w:rsidP="00267897" w:rsidRDefault="0065729C" w14:paraId="50F441DA" w14:textId="60A4B25D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Oversight by DHoS and SMT</w:t>
            </w:r>
          </w:p>
        </w:tc>
        <w:tc>
          <w:tcPr>
            <w:tcW w:w="1071" w:type="pct"/>
            <w:shd w:val="clear" w:color="auto" w:fill="FBE4D5" w:themeFill="accent2" w:themeFillTint="33"/>
          </w:tcPr>
          <w:p w:rsidR="0065729C" w:rsidP="009930EB" w:rsidRDefault="0065729C" w14:paraId="79523C41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INA completed prior to recruitment</w:t>
            </w:r>
          </w:p>
          <w:p w:rsidR="0065729C" w:rsidP="009930EB" w:rsidRDefault="0065729C" w14:paraId="101774B5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6788CC4E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ILPR completed quarterly</w:t>
            </w:r>
          </w:p>
          <w:p w:rsidR="0065729C" w:rsidP="009930EB" w:rsidRDefault="0065729C" w14:paraId="167D8701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9930EB" w:rsidRDefault="0065729C" w14:paraId="5A831382" w14:textId="0ED53C1B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Compliance audits quarterly</w:t>
            </w:r>
          </w:p>
        </w:tc>
      </w:tr>
    </w:tbl>
    <w:p w:rsidRPr="005908CB" w:rsidR="00D336ED" w:rsidP="00D336ED" w:rsidRDefault="00D336ED" w14:paraId="48921D2B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486"/>
        <w:gridCol w:w="4730"/>
        <w:gridCol w:w="2240"/>
      </w:tblGrid>
      <w:tr w:rsidRPr="005908CB" w:rsidR="0065729C" w:rsidTr="422AE46F" w14:paraId="01CE73BE" w14:textId="498B1784">
        <w:tc>
          <w:tcPr>
            <w:tcW w:w="1667" w:type="pct"/>
            <w:shd w:val="clear" w:color="auto" w:fill="F2F2F2" w:themeFill="background1" w:themeFillShade="F2"/>
            <w:tcMar/>
          </w:tcPr>
          <w:p w:rsidRPr="005908CB" w:rsidR="0065729C" w:rsidP="00D336ED" w:rsidRDefault="0065729C" w14:paraId="2875DDAE" w14:textId="77777777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>Initial Needs Assessment</w:t>
            </w:r>
          </w:p>
          <w:p w:rsidRPr="005908CB" w:rsidR="0065729C" w:rsidP="00D336ED" w:rsidRDefault="0065729C" w14:paraId="4CC614A2" w14:textId="35A6A4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Once completed facilitates:</w:t>
            </w:r>
          </w:p>
          <w:p w:rsidRPr="005908CB" w:rsidR="0065729C" w:rsidP="00D336ED" w:rsidRDefault="0065729C" w14:paraId="5502C07C" w14:textId="6B46F3A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 xml:space="preserve">Funding eligibility </w:t>
            </w:r>
          </w:p>
          <w:p w:rsidRPr="005908CB" w:rsidR="0065729C" w:rsidP="00D336ED" w:rsidRDefault="0065729C" w14:paraId="66125C12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 xml:space="preserve"> RPL processes where previous learning identified </w:t>
            </w:r>
          </w:p>
          <w:p w:rsidRPr="005908CB" w:rsidR="0065729C" w:rsidP="00D336ED" w:rsidRDefault="0065729C" w14:paraId="69631AD8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Completion of the individual learning plan</w:t>
            </w:r>
          </w:p>
          <w:p w:rsidRPr="005908CB" w:rsidR="0065729C" w:rsidP="00D336ED" w:rsidRDefault="0065729C" w14:paraId="1A09B76C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Where applicable ILP to identify any KSBs (linked to specific module/work-based learning outcomes) where apprentices need stretch and challenge activities</w:t>
            </w:r>
          </w:p>
        </w:tc>
        <w:tc>
          <w:tcPr>
            <w:tcW w:w="2262" w:type="pct"/>
            <w:shd w:val="clear" w:color="auto" w:fill="F2F2F2" w:themeFill="background1" w:themeFillShade="F2"/>
            <w:tcMar/>
          </w:tcPr>
          <w:p w:rsidRPr="00267897" w:rsidR="0065729C" w:rsidP="00267897" w:rsidRDefault="0065729C" w14:paraId="121A5EC8" w14:textId="6C45EFFC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INA shared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an </w:t>
            </w: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administrator with the apprentice applicant prior to selection event with guide for completion (only applicants with completed INA are invited to interview)</w:t>
            </w:r>
          </w:p>
          <w:p w:rsidRPr="00267897" w:rsidR="0065729C" w:rsidP="00267897" w:rsidRDefault="0065729C" w14:paraId="24820AF1" w14:textId="52148165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Compliance audit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 university representative</w:t>
            </w:r>
          </w:p>
          <w:p w:rsidRPr="00267897" w:rsidR="0065729C" w:rsidP="00267897" w:rsidRDefault="0065729C" w14:paraId="4922FA51" w14:textId="0C8C2A6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Employer and UW selection team use INA to inform interview discussion/process</w:t>
            </w:r>
          </w:p>
          <w:p w:rsidRPr="00267897" w:rsidR="0065729C" w:rsidP="00267897" w:rsidRDefault="0065729C" w14:paraId="7844120D" w14:textId="66756BFD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267897" w:rsidR="0065729C" w:rsidP="422AE46F" w:rsidRDefault="0065729C" w14:paraId="396A661C" w14:textId="31C170E7">
            <w:pPr>
              <w:spacing w:after="0" w:line="240" w:lineRule="auto"/>
              <w:rPr>
                <w:rFonts w:cs="Calibri" w:cstheme="minorAscii"/>
                <w:i w:val="1"/>
                <w:iCs w:val="1"/>
                <w:color w:val="000000" w:themeColor="text1"/>
                <w:sz w:val="18"/>
                <w:szCs w:val="18"/>
              </w:rPr>
            </w:pP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Potential RPL identified by selection team and shared with Course Lead/Admissions Tutor to complete any RPL claims and liaise with </w:t>
            </w:r>
            <w:r w:rsidRPr="422AE46F" w:rsidR="39929F88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Director </w:t>
            </w: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of Apprenticeships to review fees if RPL applied</w:t>
            </w: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and confirm length of revised programme meets </w:t>
            </w: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apprenticeship funding rule requirements (currently 12 months)</w:t>
            </w:r>
          </w:p>
          <w:p w:rsidRPr="00267897" w:rsidR="0065729C" w:rsidP="00267897" w:rsidRDefault="0065729C" w14:paraId="7C33F3B8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267897" w:rsidR="0065729C" w:rsidP="00267897" w:rsidRDefault="0065729C" w14:paraId="765693CD" w14:textId="77B4DA6D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Course Lead/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university representative</w:t>
            </w: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quality audit INA prior to apprentice starting on programme. </w:t>
            </w:r>
          </w:p>
          <w:p w:rsidRPr="00267897" w:rsidR="0065729C" w:rsidP="00267897" w:rsidRDefault="0065729C" w14:paraId="7AA08695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267897" w:rsidR="0065729C" w:rsidP="00267897" w:rsidRDefault="0065729C" w14:paraId="2C0B50AE" w14:textId="702C8686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Course Lead/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university representative to</w:t>
            </w: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meet with and support apprentices during introduction to HE week to complete ILP to ensure it reflects their individual INA</w:t>
            </w:r>
          </w:p>
          <w:p w:rsidRPr="00267897" w:rsidR="0065729C" w:rsidP="00267897" w:rsidRDefault="0065729C" w14:paraId="59FD550E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267897" w:rsidR="0065729C" w:rsidP="00267897" w:rsidRDefault="0065729C" w14:paraId="589E036D" w14:textId="66B4D08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67897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Oversight by HoD</w:t>
            </w:r>
          </w:p>
        </w:tc>
        <w:tc>
          <w:tcPr>
            <w:tcW w:w="1071" w:type="pct"/>
            <w:shd w:val="clear" w:color="auto" w:fill="F2F2F2" w:themeFill="background1" w:themeFillShade="F2"/>
            <w:tcMar/>
          </w:tcPr>
          <w:p w:rsidR="0065729C" w:rsidP="00267897" w:rsidRDefault="0065729C" w14:paraId="6A2699A7" w14:textId="77777777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lastRenderedPageBreak/>
              <w:t>INA completed prior to recruitment</w:t>
            </w:r>
          </w:p>
          <w:p w:rsidR="0065729C" w:rsidP="00267897" w:rsidRDefault="0065729C" w14:paraId="09CD5DD2" w14:textId="32CB3054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INA compliance undertaken before apprentice start on the apprenticeship</w:t>
            </w:r>
          </w:p>
          <w:p w:rsidR="0065729C" w:rsidP="00267897" w:rsidRDefault="0065729C" w14:paraId="6A30BFEC" w14:textId="77777777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RPL undertaken prior to starting on the apprenticeship</w:t>
            </w:r>
          </w:p>
          <w:p w:rsidRPr="00267897" w:rsidR="0065729C" w:rsidP="00267897" w:rsidRDefault="0065729C" w14:paraId="78120063" w14:textId="7C44212C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During induction week</w:t>
            </w:r>
          </w:p>
        </w:tc>
      </w:tr>
    </w:tbl>
    <w:p w:rsidRPr="005908CB" w:rsidR="00D336ED" w:rsidP="00D336ED" w:rsidRDefault="00D336ED" w14:paraId="683AFAC4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0"/>
        <w:gridCol w:w="2240"/>
      </w:tblGrid>
      <w:tr w:rsidRPr="005908CB" w:rsidR="0065729C" w:rsidTr="422AE46F" w14:paraId="636CD910" w14:textId="527A8B2A">
        <w:tc>
          <w:tcPr>
            <w:tcW w:w="1667" w:type="pct"/>
            <w:tcBorders>
              <w:right w:val="single" w:color="auto" w:sz="4" w:space="0"/>
            </w:tcBorders>
            <w:shd w:val="clear" w:color="auto" w:fill="D5DCE4" w:themeFill="text2" w:themeFillTint="33"/>
            <w:tcMar/>
          </w:tcPr>
          <w:p w:rsidRPr="005908CB" w:rsidR="0065729C" w:rsidP="00D336ED" w:rsidRDefault="0065729C" w14:paraId="39B31AA1" w14:textId="41B1A297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 xml:space="preserve">Progress </w:t>
            </w:r>
            <w:r w:rsidRPr="0026789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Tracker</w:t>
            </w:r>
          </w:p>
          <w:p w:rsidRPr="00F40F05" w:rsidR="0065729C" w:rsidP="00CB1A88" w:rsidRDefault="0065729C" w14:paraId="0906741A" w14:textId="3D7608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0F05">
              <w:rPr>
                <w:rFonts w:cstheme="minorHAnsi"/>
                <w:color w:val="000000" w:themeColor="text1"/>
                <w:sz w:val="18"/>
                <w:szCs w:val="18"/>
              </w:rPr>
              <w:t>RAG-rated progress trackers completed quarterly compiling data from ILP, dates and data from ILPRs, attendance monitoring, academic progress and practice progress on apprenticeship</w:t>
            </w:r>
          </w:p>
          <w:p w:rsidRPr="00F40F05" w:rsidR="0065729C" w:rsidP="00CB1A88" w:rsidRDefault="0065729C" w14:paraId="7442710C" w14:textId="689D901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0F05">
              <w:rPr>
                <w:rFonts w:cstheme="minorHAnsi"/>
                <w:color w:val="000000" w:themeColor="text1"/>
                <w:sz w:val="18"/>
                <w:szCs w:val="18"/>
              </w:rPr>
              <w:t>Shared with employer prior to quarterly employer reviews</w:t>
            </w:r>
          </w:p>
          <w:p w:rsidRPr="00CB1A88" w:rsidR="0065729C" w:rsidP="00D336ED" w:rsidRDefault="0065729C" w14:paraId="271172C6" w14:textId="66E875AC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2262" w:type="pct"/>
            <w:tcBorders>
              <w:right w:val="single" w:color="auto" w:sz="4" w:space="0"/>
            </w:tcBorders>
            <w:shd w:val="clear" w:color="auto" w:fill="D5DCE4" w:themeFill="text2" w:themeFillTint="33"/>
            <w:tcMar/>
          </w:tcPr>
          <w:p w:rsidRPr="00FF254C" w:rsidR="0065729C" w:rsidP="00F40F05" w:rsidRDefault="0065729C" w14:paraId="3870F0D5" w14:textId="49593D8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 dates scheduled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on the commitment statement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by Course Lea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d/university representative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with oversight by HoD</w:t>
            </w:r>
          </w:p>
          <w:p w:rsidRPr="00FF254C" w:rsidR="0065729C" w:rsidP="00F40F05" w:rsidRDefault="0065729C" w14:paraId="63EB453C" w14:textId="7F996AE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ILPRs meetings arranged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administrator to reflect scheduled dates</w:t>
            </w:r>
          </w:p>
          <w:p w:rsidRPr="00FF254C" w:rsidR="0065729C" w:rsidP="00F40F05" w:rsidRDefault="0065729C" w14:paraId="78B28AF1" w14:textId="74B0315C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ILPRs undertaken with the apprentice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 university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and employer representative </w:t>
            </w:r>
          </w:p>
          <w:p w:rsidRPr="00FF254C" w:rsidR="0065729C" w:rsidP="00F40F05" w:rsidRDefault="0065729C" w14:paraId="2E511308" w14:textId="0123F993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 compliance audit completed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dministrator and ILPR moderation completed by Course Lead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/university representative </w:t>
            </w:r>
          </w:p>
          <w:p w:rsidRPr="00FF254C" w:rsidR="0065729C" w:rsidP="00F40F05" w:rsidRDefault="0065729C" w14:paraId="74894047" w14:textId="57F39ED7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Administrator maintains apprentice evidence packs </w:t>
            </w:r>
          </w:p>
          <w:p w:rsidRPr="00FF254C" w:rsidR="0065729C" w:rsidP="00F40F05" w:rsidRDefault="0065729C" w14:paraId="032E86BA" w14:textId="5B89A4BE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Progress Tracker prepared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dministrator, reviewed by the Course Lead</w:t>
            </w:r>
          </w:p>
          <w:p w:rsidRPr="00FF254C" w:rsidR="0065729C" w:rsidP="00F40F05" w:rsidRDefault="0065729C" w14:paraId="4F0DD250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FF254C" w:rsidR="0065729C" w:rsidP="00F40F05" w:rsidRDefault="0065729C" w14:paraId="02F9E97A" w14:textId="0FE9B1F4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Oversight by HoD ensuring apprentices are on target to meet gateway requirements in a timely manner</w:t>
            </w:r>
          </w:p>
          <w:p w:rsidRPr="00FF254C" w:rsidR="0065729C" w:rsidP="00F40F05" w:rsidRDefault="0065729C" w14:paraId="3C7888F5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="0065729C" w:rsidP="422AE46F" w:rsidRDefault="0065729C" w14:paraId="70CF77EF" w14:textId="36582E5E">
            <w:pPr>
              <w:spacing w:after="0" w:line="240" w:lineRule="auto"/>
              <w:rPr>
                <w:rFonts w:cs="Calibri" w:cstheme="minorAsci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Progress Tracker shared with </w:t>
            </w:r>
            <w:r w:rsidRPr="422AE46F" w:rsidR="2B7F39B3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Director </w:t>
            </w:r>
            <w:r w:rsidRPr="422AE46F" w:rsidR="0065729C">
              <w:rPr>
                <w:rFonts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of Apprenticeships and employers</w:t>
            </w:r>
            <w:r w:rsidRPr="422AE46F" w:rsidR="0065729C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F254C" w:rsidR="0065729C" w:rsidP="00F40F05" w:rsidRDefault="0065729C" w14:paraId="4258713D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FF254C" w:rsidR="0065729C" w:rsidP="00F40F05" w:rsidRDefault="0065729C" w14:paraId="616C8244" w14:textId="395FC7E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Quarterly employer reviews completed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 university representative</w:t>
            </w: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with HoD oversight</w:t>
            </w:r>
          </w:p>
          <w:p w:rsidRPr="00FF254C" w:rsidR="0065729C" w:rsidP="00F40F05" w:rsidRDefault="0065729C" w14:paraId="78F6F9D5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CB1A88" w:rsidR="0065729C" w:rsidP="00F40F05" w:rsidRDefault="0065729C" w14:paraId="3FC94C89" w14:textId="0F353B5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FF254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Quarterly report on employer reviews presented at the Apprenticeship Programmes Sub-Committee</w:t>
            </w:r>
          </w:p>
        </w:tc>
        <w:tc>
          <w:tcPr>
            <w:tcW w:w="1071" w:type="pct"/>
            <w:tcBorders>
              <w:right w:val="single" w:color="auto" w:sz="4" w:space="0"/>
            </w:tcBorders>
            <w:shd w:val="clear" w:color="auto" w:fill="D5DCE4" w:themeFill="text2" w:themeFillTint="33"/>
            <w:tcMar/>
          </w:tcPr>
          <w:p w:rsidR="0065729C" w:rsidP="00F40F05" w:rsidRDefault="0065729C" w14:paraId="5E16B656" w14:textId="77777777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ILPRs scheduled quarterly – Oct, Jan, April, July</w:t>
            </w:r>
          </w:p>
          <w:p w:rsidR="0065729C" w:rsidP="00F40F05" w:rsidRDefault="0065729C" w14:paraId="44DF5E99" w14:textId="77777777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Compliance audit taken as part of updating progress trackers quarterly</w:t>
            </w:r>
          </w:p>
          <w:p w:rsidR="0065729C" w:rsidP="00F40F05" w:rsidRDefault="0065729C" w14:paraId="5E5CE66B" w14:textId="77777777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Progress reviews undertaken quarterly </w:t>
            </w:r>
          </w:p>
          <w:p w:rsidR="0065729C" w:rsidP="00F40F05" w:rsidRDefault="0065729C" w14:paraId="06F63084" w14:textId="77777777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FF254C" w:rsidR="0065729C" w:rsidP="00F40F05" w:rsidRDefault="0065729C" w14:paraId="4239B57B" w14:textId="575B9945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Report to APSC quarterly </w:t>
            </w:r>
          </w:p>
        </w:tc>
      </w:tr>
    </w:tbl>
    <w:p w:rsidRPr="005908CB" w:rsidR="00D336ED" w:rsidP="00D336ED" w:rsidRDefault="00D336ED" w14:paraId="61D0316C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0"/>
        <w:gridCol w:w="2240"/>
      </w:tblGrid>
      <w:tr w:rsidRPr="005908CB" w:rsidR="0065729C" w:rsidTr="0065729C" w14:paraId="352769BC" w14:textId="6B251039">
        <w:tc>
          <w:tcPr>
            <w:tcW w:w="1667" w:type="pct"/>
            <w:shd w:val="clear" w:color="auto" w:fill="E2EFD9" w:themeFill="accent6" w:themeFillTint="33"/>
          </w:tcPr>
          <w:p w:rsidR="0065729C" w:rsidP="00D336ED" w:rsidRDefault="0065729C" w14:paraId="4453AD9E" w14:textId="7C14990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A5D7D">
              <w:rPr>
                <w:rFonts w:cstheme="minorHAnsi"/>
                <w:b/>
                <w:bCs/>
                <w:sz w:val="18"/>
                <w:szCs w:val="18"/>
              </w:rPr>
              <w:t>Evaluation</w:t>
            </w:r>
          </w:p>
          <w:p w:rsidRPr="005A5D7D" w:rsidR="0065729C" w:rsidP="00D336ED" w:rsidRDefault="0065729C" w14:paraId="3D402ADD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5908CB" w:rsidR="0065729C" w:rsidP="00D336ED" w:rsidRDefault="0065729C" w14:paraId="0B04EAAF" w14:textId="5BA70F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 xml:space="preserve">Annual review (observation) </w:t>
            </w:r>
            <w:r>
              <w:rPr>
                <w:rFonts w:cstheme="minorHAnsi"/>
                <w:sz w:val="18"/>
                <w:szCs w:val="18"/>
              </w:rPr>
              <w:t>of</w:t>
            </w:r>
            <w:r w:rsidRPr="005908CB">
              <w:rPr>
                <w:rFonts w:cstheme="minorHAnsi"/>
                <w:sz w:val="18"/>
                <w:szCs w:val="18"/>
              </w:rPr>
              <w:t xml:space="preserve"> IL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>R process for all staff members completing them</w:t>
            </w:r>
          </w:p>
          <w:p w:rsidRPr="005908CB" w:rsidR="0065729C" w:rsidP="00D336ED" w:rsidRDefault="0065729C" w14:paraId="56ABE502" w14:textId="11B86F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Written constructive feedback provided using observation template</w:t>
            </w:r>
            <w:r>
              <w:rPr>
                <w:rFonts w:cstheme="minorHAnsi"/>
                <w:sz w:val="18"/>
                <w:szCs w:val="18"/>
              </w:rPr>
              <w:t xml:space="preserve"> which reflects the requirements of the Ofsted Inspection Framework</w:t>
            </w:r>
          </w:p>
          <w:p w:rsidRPr="005908CB" w:rsidR="0065729C" w:rsidP="00D336ED" w:rsidRDefault="0065729C" w14:paraId="1B7D68BA" w14:textId="071BEE6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Team members to identify impact of feedback on their completion of IL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>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2" w:type="pct"/>
            <w:shd w:val="clear" w:color="auto" w:fill="E2EFD9" w:themeFill="accent6" w:themeFillTint="33"/>
          </w:tcPr>
          <w:p w:rsidR="0065729C" w:rsidP="00FF254C" w:rsidRDefault="0065729C" w14:paraId="7825AFD7" w14:textId="31FACE8C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Annual observation of all UW staff undertaking ILPRs, using the ILPR observation template completed by HoD/Learning and Teaching co-ordinator</w:t>
            </w:r>
          </w:p>
          <w:p w:rsidR="0065729C" w:rsidP="00FF254C" w:rsidRDefault="0065729C" w14:paraId="7DD2ADC4" w14:textId="16614166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FF254C" w:rsidRDefault="0065729C" w14:paraId="70F6A65F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Individual feedback to UW staff </w:t>
            </w:r>
          </w:p>
          <w:p w:rsidR="0065729C" w:rsidP="00FF254C" w:rsidRDefault="0065729C" w14:paraId="22148CD9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Pr="00FF254C" w:rsidR="0065729C" w:rsidP="00FF254C" w:rsidRDefault="0065729C" w14:paraId="202EF006" w14:textId="4CB216F8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Key themes identified and shared via a staff development activity, with short report provided for the Apprenticeship Programmes Sub-Committee</w:t>
            </w:r>
          </w:p>
        </w:tc>
        <w:tc>
          <w:tcPr>
            <w:tcW w:w="1071" w:type="pct"/>
            <w:shd w:val="clear" w:color="auto" w:fill="E2EFD9" w:themeFill="accent6" w:themeFillTint="33"/>
          </w:tcPr>
          <w:p w:rsidR="0065729C" w:rsidP="00FF254C" w:rsidRDefault="0065729C" w14:paraId="084D3A69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Annual observation of all staff undertaking ILPRs</w:t>
            </w:r>
          </w:p>
          <w:p w:rsidR="0065729C" w:rsidP="00FF254C" w:rsidRDefault="0065729C" w14:paraId="7D16AF08" w14:textId="77777777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:rsidR="0065729C" w:rsidP="00FF254C" w:rsidRDefault="0065729C" w14:paraId="07EC5897" w14:textId="54B0C92D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Report to APSC quarterly </w:t>
            </w:r>
          </w:p>
        </w:tc>
      </w:tr>
    </w:tbl>
    <w:p w:rsidRPr="005908CB" w:rsidR="00D336ED" w:rsidP="00D336ED" w:rsidRDefault="00D336ED" w14:paraId="441013AF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0"/>
        <w:gridCol w:w="2240"/>
      </w:tblGrid>
      <w:tr w:rsidRPr="005908CB" w:rsidR="0065729C" w:rsidTr="422AE46F" w14:paraId="6FC3CAD7" w14:textId="4C0FA6D8">
        <w:tc>
          <w:tcPr>
            <w:tcW w:w="1667" w:type="pct"/>
            <w:shd w:val="clear" w:color="auto" w:fill="D0CECE" w:themeFill="background2" w:themeFillShade="E6"/>
            <w:tcMar/>
          </w:tcPr>
          <w:p w:rsidRPr="005908CB" w:rsidR="0065729C" w:rsidP="00D336ED" w:rsidRDefault="0065729C" w14:paraId="37CFF7DE" w14:textId="77777777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>Moderation</w:t>
            </w:r>
          </w:p>
          <w:p w:rsidR="0065729C" w:rsidP="00D336ED" w:rsidRDefault="0065729C" w14:paraId="65C8F634" w14:textId="5F21912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 xml:space="preserve"> INAs audited </w:t>
            </w:r>
          </w:p>
          <w:p w:rsidRPr="005908CB" w:rsidR="0065729C" w:rsidP="00D336ED" w:rsidRDefault="0065729C" w14:paraId="4064CA94" w14:textId="4C62B6A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5908CB">
              <w:rPr>
                <w:rFonts w:cstheme="minorHAnsi"/>
                <w:sz w:val="18"/>
                <w:szCs w:val="18"/>
              </w:rPr>
              <w:t>sample of ILPs and IL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 xml:space="preserve">Rs moderated at </w:t>
            </w:r>
            <w:r w:rsidR="00D725C5">
              <w:rPr>
                <w:rFonts w:cstheme="minorHAnsi"/>
                <w:sz w:val="18"/>
                <w:szCs w:val="18"/>
              </w:rPr>
              <w:t>least annually</w:t>
            </w:r>
          </w:p>
          <w:p w:rsidRPr="005908CB" w:rsidR="0065729C" w:rsidP="422AE46F" w:rsidRDefault="0065729C" w14:paraId="75BC5BD1" w14:textId="4178A1CE">
            <w:pPr>
              <w:spacing w:after="0" w:line="240" w:lineRule="auto"/>
              <w:jc w:val="center"/>
              <w:rPr>
                <w:rFonts w:cs="Calibri" w:cstheme="minorAscii"/>
                <w:sz w:val="18"/>
                <w:szCs w:val="18"/>
              </w:rPr>
            </w:pPr>
            <w:r w:rsidRPr="422AE46F" w:rsidR="0065729C">
              <w:rPr>
                <w:rFonts w:cs="Calibri" w:cstheme="minorAscii"/>
                <w:sz w:val="18"/>
                <w:szCs w:val="18"/>
              </w:rPr>
              <w:t>M</w:t>
            </w:r>
            <w:r w:rsidRPr="422AE46F" w:rsidR="0065729C">
              <w:rPr>
                <w:rFonts w:cs="Calibri" w:cstheme="minorAscii"/>
                <w:sz w:val="18"/>
                <w:szCs w:val="18"/>
              </w:rPr>
              <w:t>oderation led by course lead</w:t>
            </w:r>
            <w:r w:rsidRPr="422AE46F" w:rsidR="0065729C">
              <w:rPr>
                <w:rFonts w:cs="Calibri" w:cstheme="minorAscii"/>
                <w:sz w:val="18"/>
                <w:szCs w:val="18"/>
              </w:rPr>
              <w:t xml:space="preserve"> or nominee</w:t>
            </w:r>
          </w:p>
          <w:p w:rsidRPr="005908CB" w:rsidR="0065729C" w:rsidP="0065729C" w:rsidRDefault="0065729C" w14:paraId="561B48C6" w14:textId="1D33EB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5908CB">
              <w:rPr>
                <w:rFonts w:cstheme="minorHAnsi"/>
                <w:sz w:val="18"/>
                <w:szCs w:val="18"/>
              </w:rPr>
              <w:t xml:space="preserve">oderation report </w:t>
            </w:r>
            <w:r>
              <w:rPr>
                <w:rFonts w:cstheme="minorHAnsi"/>
                <w:sz w:val="18"/>
                <w:szCs w:val="18"/>
              </w:rPr>
              <w:t xml:space="preserve">reflecting the requirements of the Ofsted Inspection Framework </w:t>
            </w:r>
            <w:r w:rsidRPr="005908CB">
              <w:rPr>
                <w:rFonts w:cstheme="minorHAnsi"/>
                <w:sz w:val="18"/>
                <w:szCs w:val="18"/>
              </w:rPr>
              <w:t xml:space="preserve">produced identifying common themes, good practice and areas for development and shared with course team/PAT’s/module leads  </w:t>
            </w:r>
          </w:p>
        </w:tc>
        <w:tc>
          <w:tcPr>
            <w:tcW w:w="2262" w:type="pct"/>
            <w:shd w:val="clear" w:color="auto" w:fill="D0CECE" w:themeFill="background2" w:themeFillShade="E6"/>
            <w:tcMar/>
          </w:tcPr>
          <w:p w:rsidRPr="00637701" w:rsidR="0065729C" w:rsidP="00C561EC" w:rsidRDefault="0065729C" w14:paraId="7E7517BD" w14:textId="3557D404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INAs audited prior to apprentice starting on programme, with initial compliance audit and follow-up by the Apprenticeship Administrator.  Quality audit completed by Course Lead/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University representative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oversight by HoD</w:t>
            </w:r>
          </w:p>
          <w:p w:rsidRPr="00637701" w:rsidR="0065729C" w:rsidP="00C561EC" w:rsidRDefault="0065729C" w14:paraId="7F85D5C2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637701" w:rsidR="0065729C" w:rsidP="00C561EC" w:rsidRDefault="0065729C" w14:paraId="1EAF760E" w14:textId="77451B48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 compliance audit completed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Administrator, who liaises with PAT/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university representative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to follow up completion</w:t>
            </w:r>
          </w:p>
          <w:p w:rsidRPr="00637701" w:rsidR="0065729C" w:rsidP="00C561EC" w:rsidRDefault="0065729C" w14:paraId="0BA649A7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637701" w:rsidR="0065729C" w:rsidP="00C561EC" w:rsidRDefault="0065729C" w14:paraId="200563F2" w14:textId="6717EFD2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ILPs Moderation annually by CL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/university apprenticeship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oversight by HoD</w:t>
            </w:r>
          </w:p>
          <w:p w:rsidR="0065729C" w:rsidP="00C561EC" w:rsidRDefault="0065729C" w14:paraId="3F707B01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A455F6" w:rsidR="00A455F6" w:rsidP="00A455F6" w:rsidRDefault="00A455F6" w14:paraId="3D716751" w14:textId="77777777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65729C" w:rsidP="00C561EC" w:rsidRDefault="0065729C" w14:paraId="6FD30C69" w14:textId="3EB89D04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ILPRs compliance/completion audit by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dministrator, ILPRs sample (min one from each employer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/10%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) moderated and report completed 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bi-annually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by Course Lead/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university representative</w:t>
            </w: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oversight by HoD</w:t>
            </w:r>
          </w:p>
          <w:p w:rsidRPr="00637701" w:rsidR="0065729C" w:rsidP="00C561EC" w:rsidRDefault="0065729C" w14:paraId="4B6672BF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637701" w:rsidR="0065729C" w:rsidP="00C561EC" w:rsidRDefault="0065729C" w14:paraId="52BA6C50" w14:textId="72F3DB52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INA/ILP/ILPR audit and moderation processes support quarterly reporting of KPIs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with oversight by Head of Apprenticeships &amp; DHoS </w:t>
            </w:r>
          </w:p>
          <w:p w:rsidRPr="00637701" w:rsidR="0065729C" w:rsidP="00C561EC" w:rsidRDefault="0065729C" w14:paraId="4C33C3AD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C561EC" w:rsidR="0065729C" w:rsidP="00C561EC" w:rsidRDefault="0065729C" w14:paraId="21312A3B" w14:textId="78E6ABC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63770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Key themes identified and shared via a staff development activity, with short report provided for the Apprenticeship Programmes Sub-Committee</w:t>
            </w:r>
          </w:p>
        </w:tc>
        <w:tc>
          <w:tcPr>
            <w:tcW w:w="1071" w:type="pct"/>
            <w:shd w:val="clear" w:color="auto" w:fill="D0CECE" w:themeFill="background2" w:themeFillShade="E6"/>
            <w:tcMar/>
          </w:tcPr>
          <w:p w:rsidR="0065729C" w:rsidP="00C561EC" w:rsidRDefault="0065729C" w14:paraId="7D642B58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lastRenderedPageBreak/>
              <w:t>INAs audited annually prior to start of apprenticeship</w:t>
            </w:r>
          </w:p>
          <w:p w:rsidR="0065729C" w:rsidP="00C561EC" w:rsidRDefault="0065729C" w14:paraId="54914BEB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="0065729C" w:rsidP="00C561EC" w:rsidRDefault="0065729C" w14:paraId="52F8C7E1" w14:textId="344CE3AD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Annual moderation of ILP – semester one</w:t>
            </w:r>
          </w:p>
          <w:p w:rsidR="0065729C" w:rsidP="00C561EC" w:rsidRDefault="0065729C" w14:paraId="04C738F8" w14:textId="69E142C1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="0065729C" w:rsidP="00C561EC" w:rsidRDefault="0065729C" w14:paraId="01CADCF4" w14:textId="266AF408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ILPR compliance audit – quarterly </w:t>
            </w:r>
          </w:p>
          <w:p w:rsidR="0065729C" w:rsidP="00C561EC" w:rsidRDefault="0065729C" w14:paraId="70209DF0" w14:textId="2E57E185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="0065729C" w:rsidP="00C561EC" w:rsidRDefault="0065729C" w14:paraId="7C73835B" w14:textId="5E411A96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ILPR moderation and completion of moderation report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bi-annually</w:t>
            </w:r>
          </w:p>
          <w:p w:rsidR="00811EA5" w:rsidP="00C561EC" w:rsidRDefault="00811EA5" w14:paraId="42C2506B" w14:textId="61DD708E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APSC 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report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725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bi-annually</w:t>
            </w:r>
          </w:p>
          <w:p w:rsidR="0065729C" w:rsidP="00C561EC" w:rsidRDefault="0065729C" w14:paraId="30458F3F" w14:textId="7777777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637701" w:rsidR="0065729C" w:rsidP="00C561EC" w:rsidRDefault="0065729C" w14:paraId="0F809C91" w14:textId="2D18ECEA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Pr="005908CB" w:rsidR="00D55079" w:rsidP="00D336ED" w:rsidRDefault="00D55079" w14:paraId="7363FDA2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5908CB" w:rsidR="00D336ED" w:rsidTr="00D336ED" w14:paraId="1572AE7C" w14:textId="77777777">
        <w:tc>
          <w:tcPr>
            <w:tcW w:w="5000" w:type="pct"/>
            <w:shd w:val="clear" w:color="auto" w:fill="D5DCE4" w:themeFill="text2" w:themeFillTint="33"/>
          </w:tcPr>
          <w:p w:rsidRPr="005908CB" w:rsidR="00D336ED" w:rsidP="00D336ED" w:rsidRDefault="00D336ED" w14:paraId="2F75EB47" w14:textId="6DD0678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Noteworthy practice from reports of moderation of ILP</w:t>
            </w:r>
            <w:r w:rsidR="00FF254C">
              <w:rPr>
                <w:rFonts w:cstheme="minorHAnsi"/>
                <w:sz w:val="18"/>
                <w:szCs w:val="18"/>
              </w:rPr>
              <w:t xml:space="preserve"> and </w:t>
            </w:r>
            <w:r w:rsidRPr="005908CB">
              <w:rPr>
                <w:rFonts w:cstheme="minorHAnsi"/>
                <w:sz w:val="18"/>
                <w:szCs w:val="18"/>
              </w:rPr>
              <w:t>IL</w:t>
            </w:r>
            <w:r w:rsidR="0066480A"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 xml:space="preserve">R’s shared with </w:t>
            </w:r>
          </w:p>
          <w:p w:rsidRPr="005908CB" w:rsidR="00D336ED" w:rsidP="00D336ED" w:rsidRDefault="00D336ED" w14:paraId="59CFD6DC" w14:textId="1ABCEE8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College Director LTQE</w:t>
            </w:r>
            <w:r w:rsidR="00637701">
              <w:rPr>
                <w:rFonts w:cstheme="minorHAnsi"/>
                <w:sz w:val="18"/>
                <w:szCs w:val="18"/>
              </w:rPr>
              <w:t xml:space="preserve"> </w:t>
            </w:r>
            <w:r w:rsidRPr="00637701" w:rsidR="00637701">
              <w:rPr>
                <w:rFonts w:cstheme="minorHAnsi"/>
                <w:sz w:val="18"/>
                <w:szCs w:val="18"/>
              </w:rPr>
              <w:t xml:space="preserve">&amp; </w:t>
            </w:r>
            <w:r w:rsidRPr="00637701" w:rsidR="00637701">
              <w:rPr>
                <w:rFonts w:cstheme="minorHAnsi"/>
                <w:color w:val="000000" w:themeColor="text1"/>
                <w:sz w:val="18"/>
                <w:szCs w:val="18"/>
              </w:rPr>
              <w:t>Apprenticeship Programmes Sub-Committee</w:t>
            </w:r>
          </w:p>
        </w:tc>
      </w:tr>
    </w:tbl>
    <w:p w:rsidRPr="005908CB" w:rsidR="00D336ED" w:rsidP="00D336ED" w:rsidRDefault="00D336ED" w14:paraId="6B9C887C" w14:textId="7777777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5908CB" w:rsidR="00D336ED" w:rsidTr="00D336ED" w14:paraId="2BABD59F" w14:textId="77777777">
        <w:tc>
          <w:tcPr>
            <w:tcW w:w="5000" w:type="pct"/>
            <w:shd w:val="clear" w:color="auto" w:fill="B6EFE8"/>
          </w:tcPr>
          <w:p w:rsidRPr="005908CB" w:rsidR="00D336ED" w:rsidP="00D336ED" w:rsidRDefault="00D336ED" w14:paraId="6F2CFB26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Bi-annual report from Head of Department to School Senior Management Team and LTQE</w:t>
            </w:r>
          </w:p>
        </w:tc>
      </w:tr>
    </w:tbl>
    <w:p w:rsidRPr="005908CB" w:rsidR="00D336ED" w:rsidP="00D336ED" w:rsidRDefault="00D336ED" w14:paraId="7A2EEF21" w14:textId="77777777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5908CB" w:rsidR="00D336ED" w:rsidTr="00D336ED" w14:paraId="7DEEFBDB" w14:textId="77777777">
        <w:tc>
          <w:tcPr>
            <w:tcW w:w="5000" w:type="pct"/>
            <w:shd w:val="clear" w:color="auto" w:fill="E6D7F4"/>
          </w:tcPr>
          <w:p w:rsidRPr="005908CB" w:rsidR="00D336ED" w:rsidP="00D336ED" w:rsidRDefault="00D336ED" w14:paraId="7598B1EE" w14:textId="0E4E46C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Annual review event focusing on the impact of INA, ILP &amp; IL</w:t>
            </w:r>
            <w:r w:rsidR="0066480A"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 xml:space="preserve">R processes involving employers, apprentices and course team </w:t>
            </w:r>
          </w:p>
        </w:tc>
      </w:tr>
    </w:tbl>
    <w:p w:rsidRPr="005908CB" w:rsidR="00D336ED" w:rsidP="00D336ED" w:rsidRDefault="00D336ED" w14:paraId="5440FF43" w14:textId="7777777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5908CB" w:rsidR="00D336ED" w:rsidTr="00D336ED" w14:paraId="3513BD3F" w14:textId="77777777">
        <w:tc>
          <w:tcPr>
            <w:tcW w:w="5000" w:type="pct"/>
            <w:shd w:val="clear" w:color="auto" w:fill="DEEAF6" w:themeFill="accent5" w:themeFillTint="33"/>
          </w:tcPr>
          <w:p w:rsidRPr="005908CB" w:rsidR="00D336ED" w:rsidP="00D336ED" w:rsidRDefault="00D336ED" w14:paraId="5C8D8D2C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>Course AER &amp; Enhancement Plans</w:t>
            </w:r>
          </w:p>
          <w:p w:rsidRPr="005908CB" w:rsidR="00D336ED" w:rsidP="00D336ED" w:rsidRDefault="00D336ED" w14:paraId="3D6DB70A" w14:textId="0CF554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Course AER</w:t>
            </w:r>
            <w:r w:rsidR="00BF233C">
              <w:rPr>
                <w:rFonts w:cstheme="minorHAnsi"/>
                <w:sz w:val="18"/>
                <w:szCs w:val="18"/>
              </w:rPr>
              <w:t>/</w:t>
            </w:r>
            <w:r w:rsidRPr="005908CB">
              <w:rPr>
                <w:rFonts w:cstheme="minorHAnsi"/>
                <w:sz w:val="18"/>
                <w:szCs w:val="18"/>
              </w:rPr>
              <w:t>enhancement plan</w:t>
            </w:r>
            <w:r w:rsidR="00E357A8">
              <w:rPr>
                <w:rFonts w:cstheme="minorHAnsi"/>
                <w:sz w:val="18"/>
                <w:szCs w:val="18"/>
              </w:rPr>
              <w:t xml:space="preserve"> and </w:t>
            </w:r>
            <w:r w:rsidR="00FB27C4">
              <w:rPr>
                <w:rFonts w:cstheme="minorHAnsi"/>
                <w:sz w:val="18"/>
                <w:szCs w:val="18"/>
              </w:rPr>
              <w:t xml:space="preserve">School </w:t>
            </w:r>
            <w:r w:rsidR="00E357A8">
              <w:rPr>
                <w:rFonts w:cstheme="minorHAnsi"/>
                <w:sz w:val="18"/>
                <w:szCs w:val="18"/>
              </w:rPr>
              <w:t>Self</w:t>
            </w:r>
            <w:r w:rsidR="00913226">
              <w:rPr>
                <w:rFonts w:cstheme="minorHAnsi"/>
                <w:sz w:val="18"/>
                <w:szCs w:val="18"/>
              </w:rPr>
              <w:t>-</w:t>
            </w:r>
            <w:r w:rsidR="00E357A8">
              <w:rPr>
                <w:rFonts w:cstheme="minorHAnsi"/>
                <w:sz w:val="18"/>
                <w:szCs w:val="18"/>
              </w:rPr>
              <w:t>Assessment Report</w:t>
            </w:r>
            <w:r w:rsidRPr="005908CB">
              <w:rPr>
                <w:rFonts w:cstheme="minorHAnsi"/>
                <w:sz w:val="18"/>
                <w:szCs w:val="18"/>
              </w:rPr>
              <w:t xml:space="preserve"> to include an evaluation and identification of the impact of INA, ILP and IL</w:t>
            </w:r>
            <w:r w:rsidR="0066480A"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>R processes on apprentice progression from their starting point</w:t>
            </w:r>
          </w:p>
        </w:tc>
      </w:tr>
    </w:tbl>
    <w:p w:rsidRPr="005908CB" w:rsidR="00D336ED" w:rsidP="00D336ED" w:rsidRDefault="00D336ED" w14:paraId="514FDFB8" w14:textId="7777777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5908CB" w:rsidR="00D336ED" w:rsidTr="00D336ED" w14:paraId="0CDCA819" w14:textId="77777777">
        <w:tc>
          <w:tcPr>
            <w:tcW w:w="5000" w:type="pct"/>
            <w:shd w:val="clear" w:color="auto" w:fill="F8EAE9"/>
          </w:tcPr>
          <w:p w:rsidRPr="005908CB" w:rsidR="00D336ED" w:rsidP="00D336ED" w:rsidRDefault="00D336ED" w14:paraId="00467AC7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08CB">
              <w:rPr>
                <w:rFonts w:cstheme="minorHAnsi"/>
                <w:b/>
                <w:bCs/>
                <w:sz w:val="18"/>
                <w:szCs w:val="18"/>
              </w:rPr>
              <w:t>Impact Studies</w:t>
            </w:r>
          </w:p>
          <w:p w:rsidRPr="005908CB" w:rsidR="00D336ED" w:rsidP="00D336ED" w:rsidRDefault="00D336ED" w14:paraId="2AE0CB1C" w14:textId="2FD2E3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8CB">
              <w:rPr>
                <w:rFonts w:cstheme="minorHAnsi"/>
                <w:sz w:val="18"/>
                <w:szCs w:val="18"/>
              </w:rPr>
              <w:t>Individual apprentice impact studies to demonstrate how the INA facilitates RP</w:t>
            </w:r>
            <w:r w:rsidR="0066480A">
              <w:rPr>
                <w:rFonts w:cstheme="minorHAnsi"/>
                <w:sz w:val="18"/>
                <w:szCs w:val="18"/>
              </w:rPr>
              <w:t>L</w:t>
            </w:r>
            <w:r w:rsidRPr="005908CB">
              <w:rPr>
                <w:rFonts w:cstheme="minorHAnsi"/>
                <w:sz w:val="18"/>
                <w:szCs w:val="18"/>
              </w:rPr>
              <w:t xml:space="preserve"> and feeds into the development of the ILP and how progress is tracked using the IL</w:t>
            </w:r>
            <w:r w:rsidR="0066480A">
              <w:rPr>
                <w:rFonts w:cstheme="minorHAnsi"/>
                <w:sz w:val="18"/>
                <w:szCs w:val="18"/>
              </w:rPr>
              <w:t>P</w:t>
            </w:r>
            <w:r w:rsidRPr="005908CB">
              <w:rPr>
                <w:rFonts w:cstheme="minorHAnsi"/>
                <w:sz w:val="18"/>
                <w:szCs w:val="18"/>
              </w:rPr>
              <w:t>R process and demonstrates student progression and achievement from their starting point</w:t>
            </w:r>
          </w:p>
        </w:tc>
      </w:tr>
    </w:tbl>
    <w:p w:rsidR="00D336ED" w:rsidP="00D336ED" w:rsidRDefault="00D336ED" w14:paraId="5E23EDBB" w14:textId="77777777">
      <w:pPr>
        <w:spacing w:line="240" w:lineRule="auto"/>
      </w:pPr>
    </w:p>
    <w:p w:rsidR="00FD53E5" w:rsidP="00DD5791" w:rsidRDefault="00FD53E5" w14:paraId="7F827DA0" w14:textId="77777777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000000" w:themeColor="text1"/>
        </w:rPr>
      </w:pPr>
      <w:bookmarkStart w:name="_Toc31378607" w:id="0"/>
      <w:bookmarkStart w:name="_Toc33789653" w:id="1"/>
    </w:p>
    <w:p w:rsidR="00FD53E5" w:rsidP="00DD5791" w:rsidRDefault="00FD53E5" w14:paraId="283C837A" w14:textId="77777777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000000" w:themeColor="text1"/>
        </w:rPr>
      </w:pPr>
    </w:p>
    <w:p w:rsidR="00FD53E5" w:rsidP="00DD5791" w:rsidRDefault="00FD53E5" w14:paraId="11557D5C" w14:textId="77777777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000000" w:themeColor="text1"/>
        </w:rPr>
      </w:pPr>
    </w:p>
    <w:p w:rsidR="00FD53E5" w:rsidP="00DD5791" w:rsidRDefault="00FD53E5" w14:paraId="609B4356" w14:textId="77777777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000000" w:themeColor="text1"/>
        </w:rPr>
      </w:pPr>
    </w:p>
    <w:p w:rsidR="00FD53E5" w:rsidP="00DD5791" w:rsidRDefault="00FD53E5" w14:paraId="3CB0DCFC" w14:textId="77777777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000000" w:themeColor="text1"/>
        </w:rPr>
      </w:pPr>
    </w:p>
    <w:p w:rsidRPr="00DD5791" w:rsidR="00DD5791" w:rsidP="00DD5791" w:rsidRDefault="00DD5791" w14:paraId="59AE422A" w14:textId="3F73131C">
      <w:pPr>
        <w:keepNext/>
        <w:keepLines/>
        <w:spacing w:before="40" w:after="0" w:line="276" w:lineRule="auto"/>
        <w:outlineLvl w:val="1"/>
        <w:rPr>
          <w:rFonts w:ascii="Arial" w:hAnsi="Arial" w:cs="Arial" w:eastAsiaTheme="majorEastAsia"/>
          <w:b/>
          <w:color w:val="2F5496" w:themeColor="accent1" w:themeShade="BF"/>
        </w:rPr>
      </w:pPr>
      <w:r w:rsidRPr="00DD5791">
        <w:rPr>
          <w:rFonts w:ascii="Arial" w:hAnsi="Arial" w:cs="Arial" w:eastAsiaTheme="majorEastAsia"/>
          <w:b/>
          <w:color w:val="000000" w:themeColor="text1"/>
        </w:rPr>
        <w:t>Approval/Review Table</w:t>
      </w:r>
      <w:bookmarkEnd w:id="0"/>
      <w:bookmarkEnd w:id="1"/>
    </w:p>
    <w:tbl>
      <w:tblPr>
        <w:tblW w:w="92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170"/>
      </w:tblGrid>
      <w:tr w:rsidRPr="00DD5791" w:rsidR="00DD5791" w:rsidTr="00FD53E5" w14:paraId="0AB091A5" w14:textId="77777777">
        <w:trPr>
          <w:trHeight w:val="284"/>
        </w:trPr>
        <w:tc>
          <w:tcPr>
            <w:tcW w:w="3080" w:type="dxa"/>
          </w:tcPr>
          <w:p w:rsidRPr="00DD5791" w:rsidR="00DD5791" w:rsidP="00DD5791" w:rsidRDefault="00DD5791" w14:paraId="0D2D3C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b/>
                <w:bCs/>
                <w:color w:val="000000"/>
              </w:rPr>
              <w:t xml:space="preserve">Item </w:t>
            </w:r>
          </w:p>
        </w:tc>
        <w:tc>
          <w:tcPr>
            <w:tcW w:w="6170" w:type="dxa"/>
          </w:tcPr>
          <w:p w:rsidRPr="00DD5791" w:rsidR="00DD5791" w:rsidP="00DD5791" w:rsidRDefault="00DD5791" w14:paraId="1B75A1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b/>
                <w:bCs/>
                <w:color w:val="000000"/>
              </w:rPr>
              <w:t xml:space="preserve">Notes </w:t>
            </w:r>
          </w:p>
        </w:tc>
      </w:tr>
      <w:tr w:rsidRPr="00DD5791" w:rsidR="00DD5791" w:rsidTr="00FD53E5" w14:paraId="0B8C8E7A" w14:textId="77777777">
        <w:trPr>
          <w:trHeight w:val="284"/>
        </w:trPr>
        <w:tc>
          <w:tcPr>
            <w:tcW w:w="3080" w:type="dxa"/>
          </w:tcPr>
          <w:p w:rsidRPr="00DD5791" w:rsidR="00DD5791" w:rsidP="00DD5791" w:rsidRDefault="00DD5791" w14:paraId="32D02E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color w:val="000000"/>
              </w:rPr>
              <w:t xml:space="preserve">Version Number </w:t>
            </w:r>
          </w:p>
        </w:tc>
        <w:tc>
          <w:tcPr>
            <w:tcW w:w="6170" w:type="dxa"/>
          </w:tcPr>
          <w:p w:rsidRPr="00DD5791" w:rsidR="00DD5791" w:rsidP="00DD5791" w:rsidRDefault="00A455F6" w14:paraId="779789C0" w14:textId="550E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D5791" w:rsidR="00DD5791">
              <w:rPr>
                <w:rFonts w:ascii="Arial" w:hAnsi="Arial" w:cs="Arial"/>
                <w:color w:val="000000"/>
              </w:rPr>
              <w:t xml:space="preserve">.0 </w:t>
            </w:r>
          </w:p>
        </w:tc>
      </w:tr>
      <w:tr w:rsidRPr="00DD5791" w:rsidR="00DD5791" w:rsidTr="00FD53E5" w14:paraId="4B261FAD" w14:textId="77777777">
        <w:trPr>
          <w:trHeight w:val="284"/>
        </w:trPr>
        <w:tc>
          <w:tcPr>
            <w:tcW w:w="3080" w:type="dxa"/>
          </w:tcPr>
          <w:p w:rsidRPr="00DD5791" w:rsidR="00DD5791" w:rsidP="00DD5791" w:rsidRDefault="00DD5791" w14:paraId="2A429E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color w:val="000000"/>
              </w:rPr>
              <w:t xml:space="preserve">Date of Approval </w:t>
            </w:r>
          </w:p>
        </w:tc>
        <w:tc>
          <w:tcPr>
            <w:tcW w:w="6170" w:type="dxa"/>
          </w:tcPr>
          <w:p w:rsidRPr="00DD5791" w:rsidR="00DD5791" w:rsidP="00DD5791" w:rsidRDefault="00DD5791" w14:paraId="58C2FB0E" w14:textId="69D9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D5791">
              <w:rPr>
                <w:rFonts w:ascii="Arial" w:hAnsi="Arial" w:cs="Arial"/>
              </w:rPr>
              <w:t>May 2022</w:t>
            </w:r>
          </w:p>
        </w:tc>
      </w:tr>
      <w:tr w:rsidRPr="00DD5791" w:rsidR="00DD5791" w:rsidTr="00FD53E5" w14:paraId="47D2A725" w14:textId="77777777">
        <w:trPr>
          <w:trHeight w:val="284"/>
        </w:trPr>
        <w:tc>
          <w:tcPr>
            <w:tcW w:w="3080" w:type="dxa"/>
          </w:tcPr>
          <w:p w:rsidRPr="00DD5791" w:rsidR="00DD5791" w:rsidP="00DD5791" w:rsidRDefault="00DD5791" w14:paraId="109A16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color w:val="000000"/>
              </w:rPr>
              <w:t xml:space="preserve">Approved by </w:t>
            </w:r>
          </w:p>
        </w:tc>
        <w:tc>
          <w:tcPr>
            <w:tcW w:w="6170" w:type="dxa"/>
          </w:tcPr>
          <w:p w:rsidRPr="00DD5791" w:rsidR="00DD5791" w:rsidP="00DD5791" w:rsidRDefault="00DD5791" w14:paraId="0263C0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D5791">
              <w:rPr>
                <w:rFonts w:ascii="Arial" w:hAnsi="Arial" w:cs="Arial"/>
              </w:rPr>
              <w:t>Apprenticeship Programmes Sub-committee</w:t>
            </w:r>
          </w:p>
        </w:tc>
      </w:tr>
      <w:tr w:rsidRPr="00DD5791" w:rsidR="00DD5791" w:rsidTr="00FD53E5" w14:paraId="50DA7D18" w14:textId="77777777">
        <w:trPr>
          <w:trHeight w:val="284" w:hRule="exact"/>
        </w:trPr>
        <w:tc>
          <w:tcPr>
            <w:tcW w:w="3080" w:type="dxa"/>
          </w:tcPr>
          <w:p w:rsidRPr="00DD5791" w:rsidR="00DD5791" w:rsidP="00DD5791" w:rsidRDefault="00DD5791" w14:paraId="3271D182" w14:textId="681A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791">
              <w:rPr>
                <w:rFonts w:ascii="Arial" w:hAnsi="Arial" w:cs="Arial"/>
                <w:color w:val="000000"/>
              </w:rPr>
              <w:t>Department</w:t>
            </w:r>
          </w:p>
        </w:tc>
        <w:tc>
          <w:tcPr>
            <w:tcW w:w="6170" w:type="dxa"/>
          </w:tcPr>
          <w:p w:rsidRPr="00DD5791" w:rsidR="00DD5791" w:rsidP="00DD5791" w:rsidRDefault="00DD5791" w14:paraId="537F2C7C" w14:textId="77777777">
            <w:pPr>
              <w:tabs>
                <w:tab w:val="left" w:pos="939"/>
                <w:tab w:val="left" w:pos="940"/>
              </w:tabs>
              <w:rPr>
                <w:rFonts w:ascii="Arial" w:hAnsi="Arial" w:cs="Arial"/>
              </w:rPr>
            </w:pPr>
            <w:r w:rsidRPr="00DD5791">
              <w:rPr>
                <w:rFonts w:ascii="Arial" w:hAnsi="Arial" w:cs="Arial"/>
              </w:rPr>
              <w:t>Academic Quality Unit</w:t>
            </w:r>
          </w:p>
        </w:tc>
      </w:tr>
    </w:tbl>
    <w:p w:rsidR="00DD5791" w:rsidP="00D336ED" w:rsidRDefault="00DD5791" w14:paraId="32900220" w14:textId="77777777">
      <w:pPr>
        <w:spacing w:line="240" w:lineRule="auto"/>
      </w:pPr>
    </w:p>
    <w:sectPr w:rsidR="00DD5791" w:rsidSect="005908CB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8C0" w:rsidP="00A77DB5" w:rsidRDefault="00C008C0" w14:paraId="7BD07716" w14:textId="77777777">
      <w:pPr>
        <w:spacing w:after="0" w:line="240" w:lineRule="auto"/>
      </w:pPr>
      <w:r>
        <w:separator/>
      </w:r>
    </w:p>
  </w:endnote>
  <w:endnote w:type="continuationSeparator" w:id="0">
    <w:p w:rsidR="00C008C0" w:rsidP="00A77DB5" w:rsidRDefault="00C008C0" w14:paraId="43D8CF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5F6" w:rsidP="00A455F6" w:rsidRDefault="00A455F6" w14:paraId="62AA6CC0" w14:textId="6C8678EE">
    <w:pPr>
      <w:pStyle w:val="Footer"/>
      <w:jc w:val="right"/>
    </w:pPr>
    <w:r>
      <w:t>Approved APSC: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8C0" w:rsidP="00A77DB5" w:rsidRDefault="00C008C0" w14:paraId="71A82D61" w14:textId="77777777">
      <w:pPr>
        <w:spacing w:after="0" w:line="240" w:lineRule="auto"/>
      </w:pPr>
      <w:r>
        <w:separator/>
      </w:r>
    </w:p>
  </w:footnote>
  <w:footnote w:type="continuationSeparator" w:id="0">
    <w:p w:rsidR="00C008C0" w:rsidP="00A77DB5" w:rsidRDefault="00C008C0" w14:paraId="033D40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DB5" w:rsidRDefault="00A72D39" w14:paraId="27C40AEA" w14:textId="1F26A47E">
    <w:pPr>
      <w:pStyle w:val="Header"/>
    </w:pPr>
    <w:r>
      <w:tab/>
    </w:r>
    <w:r>
      <w:tab/>
    </w:r>
    <w:r>
      <w:t xml:space="preserve">  </w:t>
    </w:r>
    <w:r w:rsidR="0006601C">
      <w:tab/>
    </w:r>
    <w:r w:rsidR="000660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B66"/>
    <w:multiLevelType w:val="hybridMultilevel"/>
    <w:tmpl w:val="30C8EAB8"/>
    <w:lvl w:ilvl="0" w:tplc="1DBAD9FA">
      <w:start w:val="1"/>
      <w:numFmt w:val="lowerLetter"/>
      <w:lvlText w:val="%1."/>
      <w:lvlJc w:val="left"/>
      <w:pPr>
        <w:ind w:left="230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" w15:restartNumberingAfterBreak="0">
    <w:nsid w:val="16DE6DBC"/>
    <w:multiLevelType w:val="hybridMultilevel"/>
    <w:tmpl w:val="239A123C"/>
    <w:lvl w:ilvl="0" w:tplc="782007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845F8"/>
    <w:multiLevelType w:val="hybridMultilevel"/>
    <w:tmpl w:val="097AD4AC"/>
    <w:lvl w:ilvl="0" w:tplc="08090001">
      <w:start w:val="1"/>
      <w:numFmt w:val="bullet"/>
      <w:lvlText w:val=""/>
      <w:lvlJc w:val="left"/>
      <w:pPr>
        <w:ind w:left="6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hint="default" w:ascii="Wingdings" w:hAnsi="Wingdings"/>
      </w:rPr>
    </w:lvl>
  </w:abstractNum>
  <w:abstractNum w:abstractNumId="3" w15:restartNumberingAfterBreak="0">
    <w:nsid w:val="21486D59"/>
    <w:multiLevelType w:val="hybridMultilevel"/>
    <w:tmpl w:val="6D002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536A7F"/>
    <w:multiLevelType w:val="hybridMultilevel"/>
    <w:tmpl w:val="31808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F3A"/>
    <w:multiLevelType w:val="hybridMultilevel"/>
    <w:tmpl w:val="AA5AE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C3B12"/>
    <w:multiLevelType w:val="hybridMultilevel"/>
    <w:tmpl w:val="AB5A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0F07F86"/>
    <w:multiLevelType w:val="multilevel"/>
    <w:tmpl w:val="0E92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D7262E3"/>
    <w:multiLevelType w:val="hybridMultilevel"/>
    <w:tmpl w:val="B1661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4F06F3"/>
    <w:multiLevelType w:val="hybridMultilevel"/>
    <w:tmpl w:val="A89010F4"/>
    <w:lvl w:ilvl="0" w:tplc="08090001">
      <w:start w:val="1"/>
      <w:numFmt w:val="bullet"/>
      <w:lvlText w:val=""/>
      <w:lvlJc w:val="left"/>
      <w:pPr>
        <w:ind w:left="9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hint="default" w:ascii="Wingdings" w:hAnsi="Wingdings"/>
      </w:rPr>
    </w:lvl>
  </w:abstractNum>
  <w:abstractNum w:abstractNumId="10" w15:restartNumberingAfterBreak="0">
    <w:nsid w:val="70EE3C78"/>
    <w:multiLevelType w:val="hybridMultilevel"/>
    <w:tmpl w:val="1D9C4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AF8"/>
    <w:multiLevelType w:val="hybridMultilevel"/>
    <w:tmpl w:val="289A0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A05ED8"/>
    <w:multiLevelType w:val="hybridMultilevel"/>
    <w:tmpl w:val="89B69A3E"/>
    <w:lvl w:ilvl="0" w:tplc="08090001">
      <w:start w:val="1"/>
      <w:numFmt w:val="bullet"/>
      <w:lvlText w:val=""/>
      <w:lvlJc w:val="left"/>
      <w:pPr>
        <w:ind w:left="-38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7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4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379" w:hanging="360"/>
      </w:pPr>
      <w:rPr>
        <w:rFonts w:hint="default" w:ascii="Wingdings" w:hAnsi="Wingdings"/>
      </w:rPr>
    </w:lvl>
  </w:abstractNum>
  <w:abstractNum w:abstractNumId="13" w15:restartNumberingAfterBreak="0">
    <w:nsid w:val="7C592E7D"/>
    <w:multiLevelType w:val="hybridMultilevel"/>
    <w:tmpl w:val="62E8C168"/>
    <w:lvl w:ilvl="0" w:tplc="08090001">
      <w:start w:val="1"/>
      <w:numFmt w:val="bullet"/>
      <w:lvlText w:val=""/>
      <w:lvlJc w:val="left"/>
      <w:pPr>
        <w:ind w:left="6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ED"/>
    <w:rsid w:val="0006601C"/>
    <w:rsid w:val="000D1DD3"/>
    <w:rsid w:val="000F055A"/>
    <w:rsid w:val="000F7E79"/>
    <w:rsid w:val="001018C4"/>
    <w:rsid w:val="001320BE"/>
    <w:rsid w:val="001D1730"/>
    <w:rsid w:val="00205ABE"/>
    <w:rsid w:val="0026100E"/>
    <w:rsid w:val="002635AE"/>
    <w:rsid w:val="00267897"/>
    <w:rsid w:val="002B05F5"/>
    <w:rsid w:val="00340F7A"/>
    <w:rsid w:val="003439DF"/>
    <w:rsid w:val="003D5B83"/>
    <w:rsid w:val="003F0946"/>
    <w:rsid w:val="00417CB5"/>
    <w:rsid w:val="004267F2"/>
    <w:rsid w:val="0044735A"/>
    <w:rsid w:val="00492EF3"/>
    <w:rsid w:val="004D666B"/>
    <w:rsid w:val="00590660"/>
    <w:rsid w:val="005908CB"/>
    <w:rsid w:val="005A22A3"/>
    <w:rsid w:val="005A5D7D"/>
    <w:rsid w:val="005B1C54"/>
    <w:rsid w:val="005F2E3F"/>
    <w:rsid w:val="006230CB"/>
    <w:rsid w:val="00625943"/>
    <w:rsid w:val="00637701"/>
    <w:rsid w:val="006544D9"/>
    <w:rsid w:val="0065729C"/>
    <w:rsid w:val="006576D0"/>
    <w:rsid w:val="0066480A"/>
    <w:rsid w:val="006D6EAF"/>
    <w:rsid w:val="006F72A0"/>
    <w:rsid w:val="00747C4E"/>
    <w:rsid w:val="00761294"/>
    <w:rsid w:val="00811EA5"/>
    <w:rsid w:val="0081356B"/>
    <w:rsid w:val="00856267"/>
    <w:rsid w:val="008763A9"/>
    <w:rsid w:val="008976DC"/>
    <w:rsid w:val="00913226"/>
    <w:rsid w:val="0091746C"/>
    <w:rsid w:val="009258A3"/>
    <w:rsid w:val="009930EB"/>
    <w:rsid w:val="00A06516"/>
    <w:rsid w:val="00A14DD0"/>
    <w:rsid w:val="00A155A3"/>
    <w:rsid w:val="00A43912"/>
    <w:rsid w:val="00A455F6"/>
    <w:rsid w:val="00A551F7"/>
    <w:rsid w:val="00A72D39"/>
    <w:rsid w:val="00A77DB5"/>
    <w:rsid w:val="00AE7BD9"/>
    <w:rsid w:val="00AF1CDA"/>
    <w:rsid w:val="00B333E0"/>
    <w:rsid w:val="00B355F1"/>
    <w:rsid w:val="00B569C5"/>
    <w:rsid w:val="00B70B2C"/>
    <w:rsid w:val="00B72FDE"/>
    <w:rsid w:val="00B81257"/>
    <w:rsid w:val="00B968C2"/>
    <w:rsid w:val="00BA5132"/>
    <w:rsid w:val="00BE2894"/>
    <w:rsid w:val="00BF233C"/>
    <w:rsid w:val="00C008C0"/>
    <w:rsid w:val="00C233E3"/>
    <w:rsid w:val="00C23FE4"/>
    <w:rsid w:val="00C349A5"/>
    <w:rsid w:val="00C561EC"/>
    <w:rsid w:val="00C57AE9"/>
    <w:rsid w:val="00C632A9"/>
    <w:rsid w:val="00C800A3"/>
    <w:rsid w:val="00C828A2"/>
    <w:rsid w:val="00C90A2E"/>
    <w:rsid w:val="00C96106"/>
    <w:rsid w:val="00CB1A88"/>
    <w:rsid w:val="00CB4556"/>
    <w:rsid w:val="00CE4A96"/>
    <w:rsid w:val="00CF303D"/>
    <w:rsid w:val="00CF30C4"/>
    <w:rsid w:val="00D01D9F"/>
    <w:rsid w:val="00D1482C"/>
    <w:rsid w:val="00D17E1D"/>
    <w:rsid w:val="00D336ED"/>
    <w:rsid w:val="00D55079"/>
    <w:rsid w:val="00D71D63"/>
    <w:rsid w:val="00D725C5"/>
    <w:rsid w:val="00D761BC"/>
    <w:rsid w:val="00D76D2F"/>
    <w:rsid w:val="00D909A3"/>
    <w:rsid w:val="00DC38A3"/>
    <w:rsid w:val="00DD5791"/>
    <w:rsid w:val="00DE26D6"/>
    <w:rsid w:val="00DE5A9A"/>
    <w:rsid w:val="00E0019F"/>
    <w:rsid w:val="00E154AC"/>
    <w:rsid w:val="00E22109"/>
    <w:rsid w:val="00E23727"/>
    <w:rsid w:val="00E357A8"/>
    <w:rsid w:val="00E948CA"/>
    <w:rsid w:val="00EB1845"/>
    <w:rsid w:val="00EB746F"/>
    <w:rsid w:val="00EC34AA"/>
    <w:rsid w:val="00ED6120"/>
    <w:rsid w:val="00EF2EE5"/>
    <w:rsid w:val="00F054A6"/>
    <w:rsid w:val="00F10823"/>
    <w:rsid w:val="00F40F05"/>
    <w:rsid w:val="00F61684"/>
    <w:rsid w:val="00F734D9"/>
    <w:rsid w:val="00FB27C4"/>
    <w:rsid w:val="00FD53E5"/>
    <w:rsid w:val="00FF254C"/>
    <w:rsid w:val="00FF6722"/>
    <w:rsid w:val="0C3C9867"/>
    <w:rsid w:val="2B7F39B3"/>
    <w:rsid w:val="39929F88"/>
    <w:rsid w:val="422AE46F"/>
    <w:rsid w:val="761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321C"/>
  <w15:chartTrackingRefBased/>
  <w15:docId w15:val="{61736910-AC70-504B-911F-99CDF2B074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1F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6E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6E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6E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336E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336E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336ED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D336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6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36E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336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F2E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2EE5"/>
    <w:rPr>
      <w:b/>
      <w:bCs/>
    </w:rPr>
  </w:style>
  <w:style w:type="character" w:styleId="Emphasis">
    <w:name w:val="Emphasis"/>
    <w:basedOn w:val="DefaultParagraphFont"/>
    <w:uiPriority w:val="20"/>
    <w:qFormat/>
    <w:rsid w:val="00EF2EE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5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5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51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D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7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7D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7D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1A4DE1490CD4F9AF0DD62A65DF00C" ma:contentTypeVersion="19" ma:contentTypeDescription="Create a new document." ma:contentTypeScope="" ma:versionID="a3316ccea8a548dcd02c7207b02919e9">
  <xsd:schema xmlns:xsd="http://www.w3.org/2001/XMLSchema" xmlns:xs="http://www.w3.org/2001/XMLSchema" xmlns:p="http://schemas.microsoft.com/office/2006/metadata/properties" xmlns:ns2="54d17ed5-eb69-4fab-91ef-7a8e9552b3ab" xmlns:ns3="2ab40f22-c993-49b7-8689-273f7d7a3b1b" targetNamespace="http://schemas.microsoft.com/office/2006/metadata/properties" ma:root="true" ma:fieldsID="2454497678e0cbba41a0d9d3bdf1f69b" ns2:_="" ns3:_="">
    <xsd:import namespace="54d17ed5-eb69-4fab-91ef-7a8e9552b3ab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7ed5-eb69-4fab-91ef-7a8e9552b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55f123-cc07-45df-b178-617a31636bb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78C88-D2AB-444F-8D11-13E433FF4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2B2F2-F992-452A-95BE-C5D84BC55698}"/>
</file>

<file path=customXml/itemProps3.xml><?xml version="1.0" encoding="utf-8"?>
<ds:datastoreItem xmlns:ds="http://schemas.openxmlformats.org/officeDocument/2006/customXml" ds:itemID="{BF402B3B-5A4F-417B-9296-DB9C6707CE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Pinfield</dc:creator>
  <keywords/>
  <dc:description/>
  <lastModifiedBy>Jenny Pinfield</lastModifiedBy>
  <revision>7</revision>
  <lastPrinted>2022-05-16T16:19:00.0000000Z</lastPrinted>
  <dcterms:created xsi:type="dcterms:W3CDTF">2022-05-30T15:21:00.0000000Z</dcterms:created>
  <dcterms:modified xsi:type="dcterms:W3CDTF">2023-02-20T13:37:02.7451328Z</dcterms:modified>
</coreProperties>
</file>