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D4F8" w14:textId="77777777" w:rsidR="00D34534" w:rsidRDefault="00D34534" w:rsidP="00D34534">
      <w:r>
        <w:rPr>
          <w:noProof/>
          <w:lang w:eastAsia="en-GB"/>
        </w:rPr>
        <w:drawing>
          <wp:inline distT="0" distB="0" distL="0" distR="0" wp14:anchorId="19D285B0" wp14:editId="3C5F71AD">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C3ECD90" w14:textId="77777777" w:rsidR="00D34534" w:rsidRDefault="00D34534" w:rsidP="00D34534"/>
    <w:p w14:paraId="47809256" w14:textId="725A307C" w:rsidR="00D34534" w:rsidRDefault="00D34534" w:rsidP="00D34534">
      <w:pPr>
        <w:pStyle w:val="Martin5"/>
        <w:widowControl w:val="0"/>
        <w:overflowPunct w:val="0"/>
        <w:autoSpaceDE w:val="0"/>
        <w:autoSpaceDN w:val="0"/>
        <w:adjustRightInd w:val="0"/>
        <w:spacing w:line="240" w:lineRule="auto"/>
        <w:ind w:left="2880" w:hanging="2880"/>
        <w:rPr>
          <w:b/>
          <w:sz w:val="22"/>
          <w:szCs w:val="22"/>
        </w:rPr>
      </w:pPr>
      <w:r>
        <w:rPr>
          <w:rFonts w:cs="Arial"/>
          <w:b/>
          <w:sz w:val="24"/>
        </w:rPr>
        <w:t>APPG GUIDANCE 1</w:t>
      </w:r>
      <w:r w:rsidRPr="00617219">
        <w:rPr>
          <w:rFonts w:cs="Arial"/>
          <w:b/>
          <w:sz w:val="24"/>
        </w:rPr>
        <w:t xml:space="preserve">: </w:t>
      </w:r>
      <w:r>
        <w:rPr>
          <w:rFonts w:cs="Arial"/>
          <w:b/>
          <w:sz w:val="24"/>
        </w:rPr>
        <w:tab/>
      </w:r>
      <w:r w:rsidRPr="007F77F1">
        <w:rPr>
          <w:b/>
          <w:sz w:val="22"/>
          <w:szCs w:val="22"/>
        </w:rPr>
        <w:t>Relationship between Course Change, Course Re-Approval and APPG</w:t>
      </w:r>
    </w:p>
    <w:p w14:paraId="19A36900" w14:textId="2CFFEC42" w:rsidR="004253DD" w:rsidRDefault="004253DD" w:rsidP="00D34534">
      <w:pPr>
        <w:pStyle w:val="Martin5"/>
        <w:widowControl w:val="0"/>
        <w:overflowPunct w:val="0"/>
        <w:autoSpaceDE w:val="0"/>
        <w:autoSpaceDN w:val="0"/>
        <w:adjustRightInd w:val="0"/>
        <w:spacing w:line="240" w:lineRule="auto"/>
        <w:ind w:left="2880" w:hanging="2880"/>
        <w:rPr>
          <w:b/>
          <w:sz w:val="22"/>
          <w:szCs w:val="22"/>
        </w:rPr>
      </w:pPr>
    </w:p>
    <w:p w14:paraId="0F5CBBD1" w14:textId="77777777" w:rsidR="007F77F1" w:rsidRPr="007F77F1" w:rsidRDefault="007F77F1" w:rsidP="007F77F1">
      <w:pPr>
        <w:rPr>
          <w:rFonts w:cs="Arial"/>
          <w:szCs w:val="22"/>
        </w:rPr>
      </w:pPr>
      <w:r w:rsidRPr="007F77F1">
        <w:rPr>
          <w:rFonts w:cs="Arial"/>
          <w:b/>
          <w:szCs w:val="22"/>
        </w:rPr>
        <w:t>Regulations and Policy</w:t>
      </w:r>
    </w:p>
    <w:p w14:paraId="739E04CF" w14:textId="77777777" w:rsidR="007F77F1" w:rsidRPr="007F77F1" w:rsidRDefault="007F77F1" w:rsidP="007F77F1">
      <w:pPr>
        <w:rPr>
          <w:rFonts w:cs="Arial"/>
          <w:szCs w:val="22"/>
        </w:rPr>
      </w:pPr>
      <w:r w:rsidRPr="007F77F1">
        <w:rPr>
          <w:rFonts w:cs="Arial"/>
          <w:szCs w:val="22"/>
        </w:rPr>
        <w:t xml:space="preserve">In 2015, the </w:t>
      </w:r>
      <w:hyperlink r:id="rId11" w:history="1">
        <w:r w:rsidRPr="007F77F1">
          <w:rPr>
            <w:rStyle w:val="Hyperlink"/>
            <w:rFonts w:cs="Arial"/>
            <w:color w:val="0070C0"/>
            <w:szCs w:val="22"/>
          </w:rPr>
          <w:t>Competition and Markets Authority (CMA)</w:t>
        </w:r>
      </w:hyperlink>
      <w:r w:rsidRPr="007F77F1">
        <w:rPr>
          <w:rFonts w:cs="Arial"/>
          <w:szCs w:val="22"/>
        </w:rPr>
        <w:t xml:space="preserve"> published advice for higher education providers to help them comply with their consumer law obligations.  To comply, departments need to consider the impact that changes to programmes and modules may have on current and prospective students (applicants).</w:t>
      </w:r>
    </w:p>
    <w:p w14:paraId="102B68C5" w14:textId="77777777" w:rsidR="007F77F1" w:rsidRPr="007F77F1" w:rsidRDefault="007F77F1" w:rsidP="007F77F1">
      <w:pPr>
        <w:rPr>
          <w:rFonts w:cs="Arial"/>
          <w:szCs w:val="22"/>
        </w:rPr>
      </w:pPr>
    </w:p>
    <w:p w14:paraId="6C5F12DF" w14:textId="77777777" w:rsidR="007F77F1" w:rsidRPr="007F77F1" w:rsidRDefault="007F77F1" w:rsidP="007F77F1">
      <w:pPr>
        <w:rPr>
          <w:rFonts w:cs="Arial"/>
          <w:szCs w:val="22"/>
        </w:rPr>
      </w:pPr>
      <w:r w:rsidRPr="007F77F1">
        <w:rPr>
          <w:rFonts w:cs="Arial"/>
          <w:szCs w:val="22"/>
        </w:rPr>
        <w:t xml:space="preserve">The University has student </w:t>
      </w:r>
      <w:hyperlink r:id="rId12" w:history="1">
        <w:r w:rsidRPr="007F77F1">
          <w:rPr>
            <w:rStyle w:val="Hyperlink"/>
            <w:rFonts w:cs="Arial"/>
            <w:szCs w:val="22"/>
          </w:rPr>
          <w:t>Terms and Co</w:t>
        </w:r>
        <w:r w:rsidRPr="007F77F1">
          <w:rPr>
            <w:rStyle w:val="Hyperlink"/>
            <w:rFonts w:cs="Arial"/>
            <w:szCs w:val="22"/>
          </w:rPr>
          <w:t>n</w:t>
        </w:r>
        <w:r w:rsidRPr="007F77F1">
          <w:rPr>
            <w:rStyle w:val="Hyperlink"/>
            <w:rFonts w:cs="Arial"/>
            <w:szCs w:val="22"/>
          </w:rPr>
          <w:t>ditions</w:t>
        </w:r>
      </w:hyperlink>
      <w:r w:rsidRPr="007F77F1">
        <w:rPr>
          <w:rFonts w:cs="Arial"/>
          <w:szCs w:val="22"/>
        </w:rPr>
        <w:t>, which is updated every year and sent to every student when a course offer is made.  A binding contract is formed between the University and the Applicant when the Applicant accepts the offer of a place at the University.  Section 9 and 10 outlines our obligations around changes to programmes and module selection and what students can expect from us.</w:t>
      </w:r>
    </w:p>
    <w:p w14:paraId="1663F5E4" w14:textId="77777777" w:rsidR="007F77F1" w:rsidRPr="007F77F1" w:rsidRDefault="007F77F1" w:rsidP="007F77F1">
      <w:pPr>
        <w:rPr>
          <w:rFonts w:cs="Arial"/>
          <w:szCs w:val="22"/>
        </w:rPr>
      </w:pPr>
    </w:p>
    <w:p w14:paraId="13DCEF7E" w14:textId="1D88791D" w:rsidR="007F77F1" w:rsidRPr="007F77F1" w:rsidRDefault="007F77F1" w:rsidP="007F77F1">
      <w:pPr>
        <w:rPr>
          <w:rFonts w:cs="Arial"/>
          <w:szCs w:val="22"/>
        </w:rPr>
      </w:pPr>
      <w:r w:rsidRPr="007F77F1">
        <w:rPr>
          <w:rFonts w:cs="Arial"/>
          <w:szCs w:val="22"/>
        </w:rPr>
        <w:t xml:space="preserve">The University has interpreted our consumer law obligations and provides guidance and practical advice on when and how to inform, consult or seek consent from students when making changes and this is articulated in the </w:t>
      </w:r>
      <w:hyperlink r:id="rId13" w:history="1">
        <w:r w:rsidR="0064533E" w:rsidRPr="0064533E">
          <w:rPr>
            <w:rStyle w:val="Hyperlink"/>
          </w:rPr>
          <w:t>Course Closure, Suspension and Significant Change Policy and Procedures</w:t>
        </w:r>
      </w:hyperlink>
      <w:r w:rsidR="0064533E" w:rsidRPr="0064533E">
        <w:t> </w:t>
      </w:r>
    </w:p>
    <w:p w14:paraId="1DDC6913" w14:textId="77777777" w:rsidR="007F77F1" w:rsidRPr="007F77F1" w:rsidRDefault="007F77F1" w:rsidP="007F77F1">
      <w:pPr>
        <w:rPr>
          <w:rFonts w:cs="Arial"/>
          <w:szCs w:val="22"/>
        </w:rPr>
      </w:pPr>
    </w:p>
    <w:p w14:paraId="2BB7CF80" w14:textId="77777777" w:rsidR="007F77F1" w:rsidRPr="007F77F1" w:rsidRDefault="007F77F1" w:rsidP="007F77F1">
      <w:pPr>
        <w:rPr>
          <w:rFonts w:cs="Arial"/>
          <w:szCs w:val="22"/>
        </w:rPr>
      </w:pPr>
      <w:r w:rsidRPr="007F77F1">
        <w:rPr>
          <w:rFonts w:cs="Arial"/>
          <w:szCs w:val="22"/>
        </w:rPr>
        <w:t>Students are made aware that optional modules may change from time.</w:t>
      </w:r>
    </w:p>
    <w:p w14:paraId="45A033EC" w14:textId="77777777" w:rsidR="007F77F1" w:rsidRPr="007F77F1" w:rsidRDefault="007F77F1" w:rsidP="007F77F1">
      <w:pPr>
        <w:rPr>
          <w:rFonts w:cs="Arial"/>
          <w:szCs w:val="22"/>
        </w:rPr>
      </w:pPr>
    </w:p>
    <w:p w14:paraId="2DF4B715" w14:textId="79E3F474" w:rsidR="007F77F1" w:rsidRPr="00885E48" w:rsidRDefault="007F77F1" w:rsidP="007F77F1">
      <w:pPr>
        <w:rPr>
          <w:rFonts w:cs="Arial"/>
          <w:color w:val="FF0000"/>
          <w:szCs w:val="22"/>
        </w:rPr>
      </w:pPr>
      <w:r w:rsidRPr="007F77F1">
        <w:rPr>
          <w:rFonts w:cs="Arial"/>
          <w:szCs w:val="22"/>
        </w:rPr>
        <w:t xml:space="preserve">The process for making changes to courses and modules is outlined in the </w:t>
      </w:r>
      <w:hyperlink r:id="rId14" w:history="1">
        <w:r w:rsidRPr="00E5142D">
          <w:rPr>
            <w:rStyle w:val="Hyperlink"/>
            <w:rFonts w:cs="Arial"/>
            <w:szCs w:val="22"/>
          </w:rPr>
          <w:t>Course Planning and Approval/Re-app</w:t>
        </w:r>
        <w:r w:rsidRPr="00E5142D">
          <w:rPr>
            <w:rStyle w:val="Hyperlink"/>
            <w:rFonts w:cs="Arial"/>
            <w:szCs w:val="22"/>
          </w:rPr>
          <w:t>r</w:t>
        </w:r>
        <w:r w:rsidRPr="00E5142D">
          <w:rPr>
            <w:rStyle w:val="Hyperlink"/>
            <w:rFonts w:cs="Arial"/>
            <w:szCs w:val="22"/>
          </w:rPr>
          <w:t>oval Process</w:t>
        </w:r>
      </w:hyperlink>
      <w:r w:rsidRPr="007F77F1">
        <w:rPr>
          <w:szCs w:val="22"/>
        </w:rPr>
        <w:t xml:space="preserve"> </w:t>
      </w:r>
      <w:r w:rsidRPr="007F77F1">
        <w:rPr>
          <w:rFonts w:cs="Arial"/>
          <w:szCs w:val="22"/>
        </w:rPr>
        <w:t xml:space="preserve">and in </w:t>
      </w:r>
      <w:r w:rsidR="0064533E" w:rsidRPr="0064533E">
        <w:rPr>
          <w:rFonts w:cs="Arial"/>
          <w:color w:val="365F91" w:themeColor="accent1" w:themeShade="BF"/>
          <w:szCs w:val="22"/>
        </w:rPr>
        <w:t>CTMC</w:t>
      </w:r>
      <w:r w:rsidR="0064533E" w:rsidRPr="0064533E">
        <w:rPr>
          <w:rFonts w:cs="Arial"/>
          <w:color w:val="FF0000"/>
          <w:szCs w:val="22"/>
        </w:rPr>
        <w:t xml:space="preserve"> </w:t>
      </w:r>
      <w:hyperlink r:id="rId15" w:history="1">
        <w:r w:rsidR="0064533E" w:rsidRPr="0064533E">
          <w:rPr>
            <w:rStyle w:val="Hyperlink"/>
            <w:rFonts w:cs="Arial"/>
            <w:szCs w:val="22"/>
          </w:rPr>
          <w:t>Guidance on Amendments to Modules and Courses</w:t>
        </w:r>
      </w:hyperlink>
      <w:r w:rsidRPr="00885E48">
        <w:rPr>
          <w:rFonts w:cs="Arial"/>
          <w:color w:val="FF0000"/>
          <w:szCs w:val="22"/>
        </w:rPr>
        <w:t xml:space="preserve">.  </w:t>
      </w:r>
    </w:p>
    <w:p w14:paraId="16DC583A" w14:textId="1EC35377" w:rsidR="007F77F1" w:rsidRDefault="007F77F1" w:rsidP="007F77F1">
      <w:pPr>
        <w:rPr>
          <w:rFonts w:cs="Arial"/>
          <w:color w:val="0070C0"/>
          <w:szCs w:val="22"/>
        </w:rPr>
      </w:pPr>
    </w:p>
    <w:p w14:paraId="23FE845E" w14:textId="77777777" w:rsidR="009359BB" w:rsidRPr="007F77F1" w:rsidRDefault="009359BB" w:rsidP="007F77F1">
      <w:pPr>
        <w:rPr>
          <w:rFonts w:cs="Arial"/>
          <w:color w:val="0070C0"/>
          <w:szCs w:val="22"/>
        </w:rPr>
      </w:pPr>
    </w:p>
    <w:p w14:paraId="1E317832" w14:textId="0449158C" w:rsidR="007F77F1" w:rsidRPr="007F77F1" w:rsidRDefault="007F77F1" w:rsidP="007F77F1">
      <w:pPr>
        <w:rPr>
          <w:rFonts w:cs="Arial"/>
          <w:b/>
          <w:szCs w:val="22"/>
        </w:rPr>
      </w:pPr>
      <w:r w:rsidRPr="007F77F1">
        <w:rPr>
          <w:rFonts w:cs="Arial"/>
          <w:b/>
          <w:szCs w:val="22"/>
        </w:rPr>
        <w:t xml:space="preserve">The </w:t>
      </w:r>
      <w:r w:rsidR="00B570EA">
        <w:rPr>
          <w:rFonts w:cs="Arial"/>
          <w:b/>
          <w:szCs w:val="22"/>
        </w:rPr>
        <w:t>R</w:t>
      </w:r>
      <w:r w:rsidRPr="007F77F1">
        <w:rPr>
          <w:rFonts w:cs="Arial"/>
          <w:b/>
          <w:szCs w:val="22"/>
        </w:rPr>
        <w:t>ole of APPG</w:t>
      </w:r>
    </w:p>
    <w:p w14:paraId="6ADCE8CF" w14:textId="77777777" w:rsidR="007F77F1" w:rsidRPr="007F77F1" w:rsidRDefault="00AC1BCC" w:rsidP="007F77F1">
      <w:pPr>
        <w:rPr>
          <w:rFonts w:cs="Arial"/>
          <w:szCs w:val="22"/>
        </w:rPr>
      </w:pPr>
      <w:hyperlink r:id="rId16" w:history="1">
        <w:r w:rsidR="007F77F1" w:rsidRPr="007F77F1">
          <w:rPr>
            <w:rStyle w:val="Hyperlink"/>
            <w:rFonts w:cs="Arial"/>
            <w:szCs w:val="22"/>
          </w:rPr>
          <w:t>Academic Planning and Portfolio Group (APPG</w:t>
        </w:r>
      </w:hyperlink>
      <w:r w:rsidR="007F77F1" w:rsidRPr="007F77F1">
        <w:rPr>
          <w:rStyle w:val="Hyperlink"/>
          <w:rFonts w:cs="Arial"/>
          <w:szCs w:val="22"/>
        </w:rPr>
        <w:t>)</w:t>
      </w:r>
      <w:r w:rsidR="007F77F1" w:rsidRPr="007F77F1">
        <w:rPr>
          <w:rFonts w:cs="Arial"/>
          <w:szCs w:val="22"/>
        </w:rPr>
        <w:t xml:space="preserve"> has responsibility to approve, on behalf of University Executive Board (UEB), proposals for significantly revised courses to proceed to academic planning and Approval.  Significant changes constitute alterations to a course that could potentially affect the decision of an applicant to take up their place and/or significantly vary the information provided to applicants or to students regarding the nature of the course and its component parts.  </w:t>
      </w:r>
    </w:p>
    <w:p w14:paraId="40BCC0D9" w14:textId="77777777" w:rsidR="009359BB" w:rsidRDefault="009359BB" w:rsidP="007F77F1">
      <w:pPr>
        <w:rPr>
          <w:rFonts w:cs="Arial"/>
          <w:szCs w:val="22"/>
        </w:rPr>
      </w:pPr>
    </w:p>
    <w:p w14:paraId="15D5054F" w14:textId="7B8537DB" w:rsidR="007F77F1" w:rsidRPr="007F77F1" w:rsidRDefault="007F77F1" w:rsidP="007F77F1">
      <w:pPr>
        <w:rPr>
          <w:rFonts w:cs="Arial"/>
          <w:szCs w:val="22"/>
        </w:rPr>
      </w:pPr>
      <w:r w:rsidRPr="007F77F1">
        <w:rPr>
          <w:rFonts w:cs="Arial"/>
          <w:szCs w:val="22"/>
        </w:rPr>
        <w:t>A significant change might include:</w:t>
      </w:r>
    </w:p>
    <w:p w14:paraId="28395FE6"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a change to the award title</w:t>
      </w:r>
    </w:p>
    <w:p w14:paraId="3C20B6DF"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a change to the accreditation arrangements</w:t>
      </w:r>
    </w:p>
    <w:p w14:paraId="4E146B51"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significant changes to the content of the programme such as adding or removing a mandatory module</w:t>
      </w:r>
    </w:p>
    <w:p w14:paraId="0065E842"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changes to the method of delivery or method of assessment of the programme such that the overall learning outcomes of the programme are fundamentally different</w:t>
      </w:r>
    </w:p>
    <w:p w14:paraId="608BD9AE"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significant changes to the location which the programme is taught.</w:t>
      </w:r>
    </w:p>
    <w:p w14:paraId="702AE0C5" w14:textId="77777777" w:rsidR="007F77F1" w:rsidRPr="007F77F1" w:rsidRDefault="007F77F1" w:rsidP="007F77F1">
      <w:pPr>
        <w:rPr>
          <w:rFonts w:cs="Arial"/>
          <w:szCs w:val="22"/>
        </w:rPr>
      </w:pPr>
    </w:p>
    <w:p w14:paraId="37FDD7C2" w14:textId="77777777" w:rsidR="007F77F1" w:rsidRPr="007F77F1" w:rsidRDefault="007F77F1" w:rsidP="007F77F1">
      <w:pPr>
        <w:rPr>
          <w:rFonts w:cs="Arial"/>
          <w:szCs w:val="22"/>
        </w:rPr>
      </w:pPr>
      <w:r w:rsidRPr="007F77F1">
        <w:rPr>
          <w:rFonts w:cs="Arial"/>
          <w:szCs w:val="22"/>
        </w:rPr>
        <w:t xml:space="preserve">In addition to the above, any Course and Module where consideration should be given to the implications for contractual liabilities, resource implications, public information, and communications with applicants and/or students, is subject to the agreement of APPG.  </w:t>
      </w:r>
    </w:p>
    <w:p w14:paraId="204B006D" w14:textId="77777777" w:rsidR="007F77F1" w:rsidRPr="007F77F1" w:rsidRDefault="007F77F1" w:rsidP="007F77F1">
      <w:pPr>
        <w:rPr>
          <w:rFonts w:cs="Arial"/>
          <w:szCs w:val="22"/>
        </w:rPr>
      </w:pPr>
    </w:p>
    <w:p w14:paraId="39B1D59A" w14:textId="199FAD63" w:rsidR="007F77F1" w:rsidRDefault="007F77F1" w:rsidP="007F77F1">
      <w:pPr>
        <w:rPr>
          <w:rFonts w:cs="Arial"/>
          <w:color w:val="FF0000"/>
          <w:szCs w:val="22"/>
          <w:shd w:val="clear" w:color="auto" w:fill="FFFFFF"/>
        </w:rPr>
      </w:pPr>
      <w:r w:rsidRPr="004253DD">
        <w:rPr>
          <w:rFonts w:cs="Arial"/>
          <w:szCs w:val="22"/>
        </w:rPr>
        <w:lastRenderedPageBreak/>
        <w:t xml:space="preserve">Where significant change is being proposed, </w:t>
      </w:r>
      <w:r w:rsidRPr="004253DD">
        <w:rPr>
          <w:rFonts w:cs="Arial"/>
          <w:szCs w:val="22"/>
          <w:shd w:val="clear" w:color="auto" w:fill="FFFFFF"/>
        </w:rPr>
        <w:t xml:space="preserve">the course team should complete </w:t>
      </w:r>
      <w:r w:rsidR="0064533E" w:rsidRPr="0064533E">
        <w:rPr>
          <w:rFonts w:cs="Arial"/>
          <w:color w:val="365F91" w:themeColor="accent1" w:themeShade="BF"/>
          <w:szCs w:val="22"/>
          <w:shd w:val="clear" w:color="auto" w:fill="FFFFFF"/>
        </w:rPr>
        <w:t>APPG Form 3:</w:t>
      </w:r>
      <w:r w:rsidR="0064533E" w:rsidRPr="0064533E">
        <w:rPr>
          <w:rFonts w:cs="Arial"/>
          <w:b/>
          <w:bCs/>
          <w:color w:val="FF0000"/>
          <w:szCs w:val="22"/>
          <w:shd w:val="clear" w:color="auto" w:fill="FFFFFF"/>
        </w:rPr>
        <w:t> </w:t>
      </w:r>
      <w:hyperlink r:id="rId17" w:history="1">
        <w:r w:rsidR="0064533E" w:rsidRPr="0064533E">
          <w:rPr>
            <w:rStyle w:val="Hyperlink"/>
            <w:rFonts w:cs="Arial"/>
            <w:szCs w:val="22"/>
            <w:shd w:val="clear" w:color="auto" w:fill="FFFFFF"/>
          </w:rPr>
          <w:t>Request for Significant Change</w:t>
        </w:r>
      </w:hyperlink>
      <w:r w:rsidR="0064533E" w:rsidRPr="0064533E">
        <w:rPr>
          <w:rFonts w:cs="Arial"/>
          <w:color w:val="FF0000"/>
          <w:szCs w:val="22"/>
          <w:shd w:val="clear" w:color="auto" w:fill="FFFFFF"/>
        </w:rPr>
        <w:t> </w:t>
      </w:r>
    </w:p>
    <w:p w14:paraId="1DCB80A4" w14:textId="77777777" w:rsidR="0064533E" w:rsidRPr="007F77F1" w:rsidRDefault="0064533E" w:rsidP="007F77F1">
      <w:pPr>
        <w:rPr>
          <w:rFonts w:cs="Arial"/>
          <w:b/>
          <w:szCs w:val="22"/>
        </w:rPr>
      </w:pPr>
    </w:p>
    <w:p w14:paraId="765C58D2" w14:textId="77777777" w:rsidR="007F77F1" w:rsidRPr="007F77F1" w:rsidRDefault="007F77F1" w:rsidP="007F77F1">
      <w:pPr>
        <w:rPr>
          <w:rFonts w:cs="Arial"/>
          <w:b/>
          <w:szCs w:val="22"/>
        </w:rPr>
      </w:pPr>
      <w:r w:rsidRPr="007F77F1">
        <w:rPr>
          <w:rFonts w:cs="Arial"/>
          <w:b/>
          <w:szCs w:val="22"/>
        </w:rPr>
        <w:t>Course Re-Approval</w:t>
      </w:r>
    </w:p>
    <w:p w14:paraId="4FC8755C" w14:textId="77777777" w:rsidR="007F77F1" w:rsidRPr="007F77F1" w:rsidRDefault="007F77F1" w:rsidP="007F77F1">
      <w:pPr>
        <w:rPr>
          <w:rFonts w:cs="Arial"/>
          <w:szCs w:val="22"/>
        </w:rPr>
      </w:pPr>
      <w:r w:rsidRPr="007F77F1">
        <w:rPr>
          <w:rFonts w:cs="Arial"/>
          <w:szCs w:val="22"/>
        </w:rPr>
        <w:t>Course Re-approval, by its nature, is significant change otherwise the changes would be managed via other UW processes.</w:t>
      </w:r>
    </w:p>
    <w:p w14:paraId="584B3B0A" w14:textId="77777777" w:rsidR="007F77F1" w:rsidRPr="007F77F1" w:rsidRDefault="007F77F1" w:rsidP="007F77F1">
      <w:pPr>
        <w:rPr>
          <w:rFonts w:cs="Arial"/>
          <w:szCs w:val="22"/>
        </w:rPr>
      </w:pPr>
    </w:p>
    <w:p w14:paraId="5924C8B2" w14:textId="77777777" w:rsidR="007F77F1" w:rsidRPr="007F77F1" w:rsidRDefault="007F77F1" w:rsidP="007F77F1">
      <w:pPr>
        <w:rPr>
          <w:rFonts w:cs="Arial"/>
          <w:szCs w:val="22"/>
          <w:u w:val="single"/>
        </w:rPr>
      </w:pPr>
      <w:r w:rsidRPr="007F77F1">
        <w:rPr>
          <w:rFonts w:cs="Arial"/>
          <w:szCs w:val="22"/>
          <w:u w:val="single"/>
        </w:rPr>
        <w:t>Low risk Re-Approval</w:t>
      </w:r>
    </w:p>
    <w:p w14:paraId="73343B3D" w14:textId="61BA6710" w:rsidR="007F77F1" w:rsidRPr="007F77F1" w:rsidRDefault="007F77F1" w:rsidP="007F77F1">
      <w:pPr>
        <w:rPr>
          <w:rFonts w:cs="Arial"/>
          <w:szCs w:val="22"/>
          <w:shd w:val="clear" w:color="auto" w:fill="FFFFFF"/>
        </w:rPr>
      </w:pPr>
      <w:r w:rsidRPr="007F77F1">
        <w:rPr>
          <w:rFonts w:cs="Arial"/>
          <w:szCs w:val="22"/>
        </w:rPr>
        <w:t xml:space="preserve">Where the Course Re-Approval is considered to be straightforward, the course team should </w:t>
      </w:r>
      <w:r w:rsidRPr="004253DD">
        <w:rPr>
          <w:rFonts w:cs="Arial"/>
          <w:szCs w:val="22"/>
        </w:rPr>
        <w:t xml:space="preserve">complete the </w:t>
      </w:r>
      <w:r w:rsidR="0064533E" w:rsidRPr="0064533E">
        <w:rPr>
          <w:rFonts w:cs="Arial"/>
          <w:color w:val="365F91" w:themeColor="accent1" w:themeShade="BF"/>
          <w:szCs w:val="22"/>
          <w:shd w:val="clear" w:color="auto" w:fill="FFFFFF"/>
        </w:rPr>
        <w:t>APPG Form 3:</w:t>
      </w:r>
      <w:r w:rsidR="0064533E" w:rsidRPr="0064533E">
        <w:rPr>
          <w:rFonts w:cs="Arial"/>
          <w:b/>
          <w:bCs/>
          <w:color w:val="FF0000"/>
          <w:szCs w:val="22"/>
          <w:shd w:val="clear" w:color="auto" w:fill="FFFFFF"/>
        </w:rPr>
        <w:t> </w:t>
      </w:r>
      <w:hyperlink r:id="rId18" w:history="1">
        <w:r w:rsidR="0064533E" w:rsidRPr="0064533E">
          <w:rPr>
            <w:rStyle w:val="Hyperlink"/>
            <w:rFonts w:cs="Arial"/>
            <w:szCs w:val="22"/>
            <w:shd w:val="clear" w:color="auto" w:fill="FFFFFF"/>
          </w:rPr>
          <w:t>Request for Significant Change</w:t>
        </w:r>
      </w:hyperlink>
      <w:r w:rsidR="0064533E">
        <w:rPr>
          <w:rFonts w:cs="Arial"/>
          <w:color w:val="FF0000"/>
          <w:szCs w:val="22"/>
          <w:shd w:val="clear" w:color="auto" w:fill="FFFFFF"/>
        </w:rPr>
        <w:t xml:space="preserve"> </w:t>
      </w:r>
      <w:r w:rsidRPr="004253DD">
        <w:rPr>
          <w:rFonts w:cs="Arial"/>
          <w:szCs w:val="22"/>
          <w:shd w:val="clear" w:color="auto" w:fill="FFFFFF"/>
        </w:rPr>
        <w:t>with a proposed copy of the</w:t>
      </w:r>
      <w:r w:rsidRPr="007F77F1">
        <w:rPr>
          <w:rFonts w:cs="Arial"/>
          <w:szCs w:val="22"/>
          <w:shd w:val="clear" w:color="auto" w:fill="FFFFFF"/>
        </w:rPr>
        <w:t xml:space="preserve"> amended Award map appended.  Straightforward change could be:</w:t>
      </w:r>
    </w:p>
    <w:p w14:paraId="35D1868D" w14:textId="77777777" w:rsidR="007F77F1" w:rsidRPr="007F77F1" w:rsidRDefault="007F77F1" w:rsidP="007F77F1">
      <w:pPr>
        <w:pStyle w:val="ListParagraph"/>
        <w:numPr>
          <w:ilvl w:val="0"/>
          <w:numId w:val="11"/>
        </w:numPr>
        <w:rPr>
          <w:rFonts w:cs="Arial"/>
        </w:rPr>
      </w:pPr>
      <w:r w:rsidRPr="007F77F1">
        <w:rPr>
          <w:rFonts w:ascii="Arial" w:hAnsi="Arial" w:cs="Arial"/>
        </w:rPr>
        <w:t>The addition of, or changes to, more than 90 credits of a course (affecting more than 50% of any one level of the course, or more than 25% of a course in total)</w:t>
      </w:r>
    </w:p>
    <w:p w14:paraId="42239E92" w14:textId="77777777" w:rsidR="007F77F1" w:rsidRPr="007F77F1" w:rsidRDefault="007F77F1" w:rsidP="007F77F1">
      <w:pPr>
        <w:pStyle w:val="ListParagraph"/>
        <w:numPr>
          <w:ilvl w:val="0"/>
          <w:numId w:val="11"/>
        </w:numPr>
        <w:rPr>
          <w:rFonts w:cs="Arial"/>
        </w:rPr>
      </w:pPr>
      <w:r w:rsidRPr="007F77F1">
        <w:rPr>
          <w:rFonts w:ascii="Arial" w:hAnsi="Arial" w:cs="Arial"/>
        </w:rPr>
        <w:t>Substantial change to the curriculum, assessment or modules within a course or substantial changes to mandatory modules which results in a significant change to the course offer.</w:t>
      </w:r>
    </w:p>
    <w:p w14:paraId="6B872E96" w14:textId="311B5C6D" w:rsidR="007F77F1" w:rsidRPr="007F77F1" w:rsidRDefault="007F77F1" w:rsidP="007F77F1">
      <w:pPr>
        <w:rPr>
          <w:rFonts w:cs="Arial"/>
          <w:szCs w:val="22"/>
        </w:rPr>
      </w:pPr>
      <w:r w:rsidRPr="007F77F1">
        <w:rPr>
          <w:rFonts w:cs="Arial"/>
          <w:szCs w:val="22"/>
        </w:rPr>
        <w:t xml:space="preserve">In the case of the straightforward re-approval, the College Director may approve </w:t>
      </w:r>
      <w:r w:rsidR="0064533E" w:rsidRPr="0064533E">
        <w:rPr>
          <w:rFonts w:cs="Arial"/>
          <w:color w:val="365F91" w:themeColor="accent1" w:themeShade="BF"/>
          <w:szCs w:val="22"/>
        </w:rPr>
        <w:t xml:space="preserve">APPG Form 4: </w:t>
      </w:r>
      <w:hyperlink r:id="rId19" w:history="1">
        <w:r w:rsidR="0064533E" w:rsidRPr="0064533E">
          <w:rPr>
            <w:rStyle w:val="Hyperlink"/>
            <w:rFonts w:cs="Arial"/>
            <w:color w:val="365F91" w:themeColor="accent1" w:themeShade="BF"/>
            <w:szCs w:val="22"/>
          </w:rPr>
          <w:t>Provision of Information for Prospective Students</w:t>
        </w:r>
      </w:hyperlink>
      <w:r w:rsidR="004253DD" w:rsidRPr="00885E48">
        <w:rPr>
          <w:rFonts w:cs="Arial"/>
          <w:color w:val="FF0000"/>
          <w:szCs w:val="22"/>
        </w:rPr>
        <w:t xml:space="preserve"> </w:t>
      </w:r>
      <w:r w:rsidR="0064533E">
        <w:rPr>
          <w:rFonts w:cs="Arial"/>
          <w:szCs w:val="22"/>
        </w:rPr>
        <w:t>o</w:t>
      </w:r>
      <w:r w:rsidRPr="004253DD">
        <w:rPr>
          <w:rFonts w:cs="Arial"/>
          <w:szCs w:val="22"/>
        </w:rPr>
        <w:t>utside of the APPG process.</w:t>
      </w:r>
    </w:p>
    <w:p w14:paraId="3C1331BE" w14:textId="77777777" w:rsidR="007F77F1" w:rsidRPr="007F77F1" w:rsidRDefault="007F77F1" w:rsidP="007F77F1">
      <w:pPr>
        <w:rPr>
          <w:rFonts w:cs="Arial"/>
          <w:szCs w:val="22"/>
        </w:rPr>
      </w:pPr>
    </w:p>
    <w:p w14:paraId="47682C9A" w14:textId="77777777" w:rsidR="007F77F1" w:rsidRPr="007F77F1" w:rsidRDefault="007F77F1" w:rsidP="007F77F1">
      <w:pPr>
        <w:rPr>
          <w:rFonts w:cs="Arial"/>
          <w:szCs w:val="22"/>
          <w:u w:val="single"/>
        </w:rPr>
      </w:pPr>
      <w:r w:rsidRPr="007F77F1">
        <w:rPr>
          <w:rFonts w:cs="Arial"/>
          <w:szCs w:val="22"/>
          <w:u w:val="single"/>
        </w:rPr>
        <w:t>Complex Re-Approval</w:t>
      </w:r>
    </w:p>
    <w:p w14:paraId="0283DCFA" w14:textId="4DFFE431" w:rsidR="007F77F1" w:rsidRPr="0064533E" w:rsidRDefault="007F77F1" w:rsidP="007F77F1">
      <w:pPr>
        <w:rPr>
          <w:rFonts w:cs="Arial"/>
          <w:color w:val="0070C0"/>
          <w:szCs w:val="22"/>
        </w:rPr>
      </w:pPr>
      <w:r w:rsidRPr="007F77F1">
        <w:rPr>
          <w:rFonts w:cs="Arial"/>
          <w:szCs w:val="22"/>
        </w:rPr>
        <w:t xml:space="preserve">Where the Course Re-Approval has implications for contractual liabilities, resource implications, public information, and communications with applicants and/or students, the </w:t>
      </w:r>
      <w:r w:rsidRPr="004253DD">
        <w:rPr>
          <w:rFonts w:cs="Arial"/>
          <w:szCs w:val="22"/>
        </w:rPr>
        <w:t xml:space="preserve">course team should complete the </w:t>
      </w:r>
      <w:r w:rsidR="0064533E" w:rsidRPr="0064533E">
        <w:rPr>
          <w:color w:val="0070C0"/>
        </w:rPr>
        <w:t>APPG Form 1:</w:t>
      </w:r>
      <w:r w:rsidR="0064533E" w:rsidRPr="0064533E">
        <w:rPr>
          <w:color w:val="0070C0"/>
        </w:rPr>
        <w:t xml:space="preserve"> </w:t>
      </w:r>
      <w:hyperlink r:id="rId20" w:history="1">
        <w:r w:rsidR="0064533E" w:rsidRPr="0064533E">
          <w:rPr>
            <w:rStyle w:val="Hyperlink"/>
            <w:color w:val="0070C0"/>
          </w:rPr>
          <w:t>New Course Proposal</w:t>
        </w:r>
      </w:hyperlink>
    </w:p>
    <w:p w14:paraId="17C10BCF" w14:textId="77777777" w:rsidR="007F77F1" w:rsidRPr="007F77F1" w:rsidRDefault="007F77F1" w:rsidP="007F77F1">
      <w:pPr>
        <w:rPr>
          <w:rFonts w:cs="Arial"/>
          <w:color w:val="0070C0"/>
          <w:szCs w:val="22"/>
        </w:rPr>
      </w:pPr>
    </w:p>
    <w:p w14:paraId="63EEC563" w14:textId="4FBDAEBF" w:rsidR="007F77F1" w:rsidRPr="007F77F1" w:rsidRDefault="007F77F1" w:rsidP="007F77F1">
      <w:pPr>
        <w:rPr>
          <w:rFonts w:cs="Arial"/>
          <w:szCs w:val="22"/>
        </w:rPr>
      </w:pPr>
      <w:r w:rsidRPr="004253DD">
        <w:rPr>
          <w:rFonts w:cs="Arial"/>
          <w:szCs w:val="22"/>
        </w:rPr>
        <w:t xml:space="preserve">In the case of more complex re-approval, the </w:t>
      </w:r>
      <w:r w:rsidR="0064533E" w:rsidRPr="0064533E">
        <w:rPr>
          <w:rFonts w:cs="Arial"/>
          <w:color w:val="365F91" w:themeColor="accent1" w:themeShade="BF"/>
          <w:szCs w:val="22"/>
        </w:rPr>
        <w:t xml:space="preserve">APPG Form 4: </w:t>
      </w:r>
      <w:hyperlink r:id="rId21" w:history="1">
        <w:r w:rsidR="0064533E" w:rsidRPr="0064533E">
          <w:rPr>
            <w:rStyle w:val="Hyperlink"/>
            <w:rFonts w:cs="Arial"/>
            <w:color w:val="365F91" w:themeColor="accent1" w:themeShade="BF"/>
            <w:szCs w:val="22"/>
          </w:rPr>
          <w:t>Provision of Information for Prospective Students</w:t>
        </w:r>
      </w:hyperlink>
      <w:r w:rsidR="004253DD" w:rsidRPr="00C0174F">
        <w:rPr>
          <w:rFonts w:cs="Arial"/>
          <w:color w:val="215868" w:themeColor="accent5" w:themeShade="80"/>
          <w:szCs w:val="22"/>
        </w:rPr>
        <w:t xml:space="preserve"> </w:t>
      </w:r>
      <w:r w:rsidRPr="004253DD">
        <w:rPr>
          <w:rFonts w:cs="Arial"/>
          <w:szCs w:val="22"/>
        </w:rPr>
        <w:t>should be submitted for consideration by APPG.</w:t>
      </w:r>
    </w:p>
    <w:p w14:paraId="5A1758DB" w14:textId="77777777" w:rsidR="007F77F1" w:rsidRPr="007F77F1" w:rsidRDefault="007F77F1" w:rsidP="007F77F1">
      <w:pPr>
        <w:rPr>
          <w:rFonts w:cs="Arial"/>
          <w:szCs w:val="22"/>
        </w:rPr>
      </w:pPr>
    </w:p>
    <w:p w14:paraId="4CB8A6FE" w14:textId="77777777" w:rsidR="007F77F1" w:rsidRPr="007F77F1" w:rsidRDefault="007F77F1" w:rsidP="007F77F1">
      <w:pPr>
        <w:rPr>
          <w:szCs w:val="22"/>
        </w:rPr>
      </w:pPr>
    </w:p>
    <w:p w14:paraId="62EB4B84" w14:textId="77777777" w:rsidR="007F77F1" w:rsidRPr="007F77F1" w:rsidRDefault="007F77F1" w:rsidP="007F77F1">
      <w:pPr>
        <w:rPr>
          <w:rFonts w:cs="Arial"/>
          <w:b/>
          <w:szCs w:val="22"/>
        </w:rPr>
      </w:pPr>
      <w:r w:rsidRPr="007F77F1">
        <w:rPr>
          <w:rFonts w:cs="Arial"/>
          <w:b/>
          <w:szCs w:val="22"/>
        </w:rPr>
        <w:t>College Course and Module Amendments Sub-Group</w:t>
      </w:r>
    </w:p>
    <w:p w14:paraId="77BD00B5" w14:textId="77777777" w:rsidR="007F77F1" w:rsidRPr="007F77F1" w:rsidRDefault="007F77F1" w:rsidP="007F77F1">
      <w:pPr>
        <w:rPr>
          <w:rFonts w:cs="Arial"/>
          <w:szCs w:val="22"/>
        </w:rPr>
      </w:pPr>
      <w:r w:rsidRPr="007F77F1">
        <w:rPr>
          <w:rFonts w:cs="Arial"/>
          <w:szCs w:val="22"/>
        </w:rPr>
        <w:t xml:space="preserve">The University’s approach to managing Module and Course Amendments is underpinned by a commitment to proportionality based on the perceived level of risk, the impact on the course as approved, and the associated level of externality required to inform and confirm the revision.  </w:t>
      </w:r>
    </w:p>
    <w:p w14:paraId="28D12654" w14:textId="77777777" w:rsidR="007F77F1" w:rsidRPr="007F77F1" w:rsidRDefault="007F77F1" w:rsidP="007F77F1">
      <w:pPr>
        <w:rPr>
          <w:rFonts w:cs="Arial"/>
          <w:szCs w:val="22"/>
        </w:rPr>
      </w:pPr>
    </w:p>
    <w:p w14:paraId="2193F332" w14:textId="77777777" w:rsidR="0064533E" w:rsidRPr="00885E48" w:rsidRDefault="007F77F1" w:rsidP="0064533E">
      <w:pPr>
        <w:rPr>
          <w:rFonts w:cs="Arial"/>
          <w:color w:val="FF0000"/>
          <w:szCs w:val="22"/>
        </w:rPr>
      </w:pPr>
      <w:r w:rsidRPr="007F77F1">
        <w:rPr>
          <w:rFonts w:cs="Arial"/>
          <w:szCs w:val="22"/>
        </w:rPr>
        <w:t xml:space="preserve">In the main, Module and Course Amendments are managed by the School through the College CMAS Committee.  The process for making changes to courses and modules is outlined in the </w:t>
      </w:r>
      <w:hyperlink r:id="rId22" w:history="1">
        <w:r w:rsidRPr="00E5142D">
          <w:rPr>
            <w:rStyle w:val="Hyperlink"/>
            <w:rFonts w:cs="Arial"/>
            <w:szCs w:val="22"/>
          </w:rPr>
          <w:t>Course Planning and Approval/Re-approval Process</w:t>
        </w:r>
      </w:hyperlink>
      <w:r w:rsidRPr="007F77F1">
        <w:rPr>
          <w:szCs w:val="22"/>
        </w:rPr>
        <w:t xml:space="preserve"> </w:t>
      </w:r>
      <w:r w:rsidRPr="007F77F1">
        <w:rPr>
          <w:rFonts w:cs="Arial"/>
          <w:szCs w:val="22"/>
        </w:rPr>
        <w:t xml:space="preserve">and in </w:t>
      </w:r>
      <w:r w:rsidR="0064533E" w:rsidRPr="0064533E">
        <w:rPr>
          <w:rFonts w:cs="Arial"/>
          <w:color w:val="365F91" w:themeColor="accent1" w:themeShade="BF"/>
          <w:szCs w:val="22"/>
        </w:rPr>
        <w:t>CTMC</w:t>
      </w:r>
      <w:r w:rsidR="0064533E" w:rsidRPr="0064533E">
        <w:rPr>
          <w:rFonts w:cs="Arial"/>
          <w:color w:val="FF0000"/>
          <w:szCs w:val="22"/>
        </w:rPr>
        <w:t xml:space="preserve"> </w:t>
      </w:r>
      <w:hyperlink r:id="rId23" w:history="1">
        <w:r w:rsidR="0064533E" w:rsidRPr="0064533E">
          <w:rPr>
            <w:rStyle w:val="Hyperlink"/>
            <w:rFonts w:cs="Arial"/>
            <w:szCs w:val="22"/>
          </w:rPr>
          <w:t>Guidance on Amendments to Modules and Courses</w:t>
        </w:r>
      </w:hyperlink>
      <w:r w:rsidR="0064533E" w:rsidRPr="00885E48">
        <w:rPr>
          <w:rFonts w:cs="Arial"/>
          <w:color w:val="FF0000"/>
          <w:szCs w:val="22"/>
        </w:rPr>
        <w:t xml:space="preserve">.  </w:t>
      </w:r>
    </w:p>
    <w:p w14:paraId="04CAADF3" w14:textId="43E576D8" w:rsidR="007F77F1" w:rsidRPr="007F77F1" w:rsidRDefault="007F77F1" w:rsidP="002015C1">
      <w:pPr>
        <w:rPr>
          <w:rFonts w:cs="Arial"/>
          <w:szCs w:val="22"/>
        </w:rPr>
      </w:pPr>
    </w:p>
    <w:p w14:paraId="674AC285" w14:textId="550D175B" w:rsidR="00FA499D" w:rsidRDefault="007F77F1" w:rsidP="00991FA4">
      <w:pPr>
        <w:rPr>
          <w:szCs w:val="22"/>
        </w:rPr>
      </w:pPr>
      <w:r w:rsidRPr="007F77F1">
        <w:rPr>
          <w:szCs w:val="22"/>
        </w:rPr>
        <w:t>The effect of minor changes over a period of time may lead cumulatively to a significant revision of the course as originally approved.  An annual paper is prepared by the School for the College LTQE Committee, identifying the volume and level of change made to modules, and makes recommendations for courses which should undergo re-approval.</w:t>
      </w:r>
    </w:p>
    <w:p w14:paraId="7245E48F" w14:textId="7E5E2E5E" w:rsidR="0064533E" w:rsidRPr="0064533E" w:rsidRDefault="0064533E" w:rsidP="0064533E">
      <w:pPr>
        <w:rPr>
          <w:szCs w:val="22"/>
        </w:rPr>
      </w:pPr>
    </w:p>
    <w:p w14:paraId="7E25C60E" w14:textId="0A2BF54F" w:rsidR="0064533E" w:rsidRPr="0064533E" w:rsidRDefault="0064533E" w:rsidP="0064533E">
      <w:pPr>
        <w:rPr>
          <w:szCs w:val="22"/>
        </w:rPr>
      </w:pPr>
    </w:p>
    <w:p w14:paraId="536E92AB" w14:textId="53FD8216" w:rsidR="0064533E" w:rsidRDefault="0064533E" w:rsidP="0064533E">
      <w:pPr>
        <w:rPr>
          <w:szCs w:val="22"/>
        </w:rPr>
      </w:pPr>
    </w:p>
    <w:p w14:paraId="3F746946" w14:textId="6FF76FC1" w:rsidR="0064533E" w:rsidRPr="0064533E" w:rsidRDefault="0064533E" w:rsidP="0064533E">
      <w:pPr>
        <w:tabs>
          <w:tab w:val="left" w:pos="4980"/>
        </w:tabs>
        <w:rPr>
          <w:szCs w:val="22"/>
        </w:rPr>
      </w:pPr>
      <w:r>
        <w:rPr>
          <w:szCs w:val="22"/>
        </w:rPr>
        <w:tab/>
      </w:r>
    </w:p>
    <w:sectPr w:rsidR="0064533E" w:rsidRPr="0064533E" w:rsidSect="007F77F1">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D40E" w14:textId="77777777" w:rsidR="002015C1" w:rsidRDefault="002015C1" w:rsidP="002015C1">
      <w:r>
        <w:separator/>
      </w:r>
    </w:p>
  </w:endnote>
  <w:endnote w:type="continuationSeparator" w:id="0">
    <w:p w14:paraId="737A57F3" w14:textId="77777777" w:rsidR="002015C1" w:rsidRDefault="002015C1" w:rsidP="0020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09667"/>
      <w:docPartObj>
        <w:docPartGallery w:val="Page Numbers (Bottom of Page)"/>
        <w:docPartUnique/>
      </w:docPartObj>
    </w:sdtPr>
    <w:sdtEndPr>
      <w:rPr>
        <w:noProof/>
      </w:rPr>
    </w:sdtEndPr>
    <w:sdtContent>
      <w:p w14:paraId="24B0F8D1" w14:textId="0221DBBD" w:rsidR="002015C1" w:rsidRDefault="002015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43AB2" w14:textId="19595539" w:rsidR="002015C1" w:rsidRPr="002D1967" w:rsidRDefault="00E5142D">
    <w:pPr>
      <w:pStyle w:val="Footer"/>
      <w:rPr>
        <w:sz w:val="18"/>
        <w:szCs w:val="20"/>
      </w:rPr>
    </w:pPr>
    <w:r>
      <w:rPr>
        <w:sz w:val="18"/>
        <w:szCs w:val="20"/>
      </w:rPr>
      <w:t>November</w:t>
    </w:r>
    <w:r w:rsidR="002D1967">
      <w:rPr>
        <w:sz w:val="18"/>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788E" w14:textId="77777777" w:rsidR="002015C1" w:rsidRDefault="002015C1" w:rsidP="002015C1">
      <w:r>
        <w:separator/>
      </w:r>
    </w:p>
  </w:footnote>
  <w:footnote w:type="continuationSeparator" w:id="0">
    <w:p w14:paraId="35B7A230" w14:textId="77777777" w:rsidR="002015C1" w:rsidRDefault="002015C1" w:rsidP="0020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A5B"/>
    <w:multiLevelType w:val="hybridMultilevel"/>
    <w:tmpl w:val="ABEE3664"/>
    <w:lvl w:ilvl="0" w:tplc="DF8CA6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DA82244"/>
    <w:multiLevelType w:val="hybridMultilevel"/>
    <w:tmpl w:val="86BA0BCE"/>
    <w:lvl w:ilvl="0" w:tplc="1E447A34">
      <w:start w:val="2"/>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0E050BDD"/>
    <w:multiLevelType w:val="hybridMultilevel"/>
    <w:tmpl w:val="43E62DAC"/>
    <w:lvl w:ilvl="0" w:tplc="F6FCE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F218D"/>
    <w:multiLevelType w:val="hybridMultilevel"/>
    <w:tmpl w:val="9E581952"/>
    <w:lvl w:ilvl="0" w:tplc="88FA7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535FC"/>
    <w:multiLevelType w:val="hybridMultilevel"/>
    <w:tmpl w:val="85BE40B8"/>
    <w:lvl w:ilvl="0" w:tplc="BD1C4A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C6E6F28"/>
    <w:multiLevelType w:val="hybridMultilevel"/>
    <w:tmpl w:val="1A5CC1F4"/>
    <w:lvl w:ilvl="0" w:tplc="AD18FA7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2358A3"/>
    <w:multiLevelType w:val="hybridMultilevel"/>
    <w:tmpl w:val="8C6A39B6"/>
    <w:lvl w:ilvl="0" w:tplc="8B7EF0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6603C"/>
    <w:multiLevelType w:val="hybridMultilevel"/>
    <w:tmpl w:val="AB5465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2F6A0B"/>
    <w:multiLevelType w:val="hybridMultilevel"/>
    <w:tmpl w:val="FFC4BC18"/>
    <w:lvl w:ilvl="0" w:tplc="65C00D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66948"/>
    <w:multiLevelType w:val="hybridMultilevel"/>
    <w:tmpl w:val="53A20744"/>
    <w:lvl w:ilvl="0" w:tplc="BD1C4A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A5A01"/>
    <w:multiLevelType w:val="multilevel"/>
    <w:tmpl w:val="26CE2C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5"/>
  </w:num>
  <w:num w:numId="3">
    <w:abstractNumId w:val="0"/>
  </w:num>
  <w:num w:numId="4">
    <w:abstractNumId w:val="10"/>
  </w:num>
  <w:num w:numId="5">
    <w:abstractNumId w:val="4"/>
  </w:num>
  <w:num w:numId="6">
    <w:abstractNumId w:val="9"/>
  </w:num>
  <w:num w:numId="7">
    <w:abstractNumId w:val="1"/>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56A03"/>
    <w:rsid w:val="0006559E"/>
    <w:rsid w:val="00067E3A"/>
    <w:rsid w:val="00087644"/>
    <w:rsid w:val="000B1E29"/>
    <w:rsid w:val="000D7AAF"/>
    <w:rsid w:val="000E74E3"/>
    <w:rsid w:val="0011741D"/>
    <w:rsid w:val="0014041C"/>
    <w:rsid w:val="001564B0"/>
    <w:rsid w:val="00174A74"/>
    <w:rsid w:val="001770FA"/>
    <w:rsid w:val="00187C5E"/>
    <w:rsid w:val="001A0D58"/>
    <w:rsid w:val="001D79FE"/>
    <w:rsid w:val="001F0D79"/>
    <w:rsid w:val="002015C1"/>
    <w:rsid w:val="00233A45"/>
    <w:rsid w:val="00237715"/>
    <w:rsid w:val="002727D9"/>
    <w:rsid w:val="002A4050"/>
    <w:rsid w:val="002D1967"/>
    <w:rsid w:val="002D328C"/>
    <w:rsid w:val="002E680C"/>
    <w:rsid w:val="002E7E44"/>
    <w:rsid w:val="002F04D2"/>
    <w:rsid w:val="002F7BA1"/>
    <w:rsid w:val="003272CB"/>
    <w:rsid w:val="0033654B"/>
    <w:rsid w:val="00343800"/>
    <w:rsid w:val="003E4BF0"/>
    <w:rsid w:val="003F2DFA"/>
    <w:rsid w:val="004253DD"/>
    <w:rsid w:val="004E06D3"/>
    <w:rsid w:val="00514B16"/>
    <w:rsid w:val="00520457"/>
    <w:rsid w:val="005268A7"/>
    <w:rsid w:val="00531FE2"/>
    <w:rsid w:val="00556D72"/>
    <w:rsid w:val="005705F4"/>
    <w:rsid w:val="005C5259"/>
    <w:rsid w:val="005C70B4"/>
    <w:rsid w:val="005D6AAD"/>
    <w:rsid w:val="005E0039"/>
    <w:rsid w:val="005E2EDC"/>
    <w:rsid w:val="005F4686"/>
    <w:rsid w:val="00640218"/>
    <w:rsid w:val="006419D4"/>
    <w:rsid w:val="00641F0D"/>
    <w:rsid w:val="0064533E"/>
    <w:rsid w:val="00646E6E"/>
    <w:rsid w:val="00651076"/>
    <w:rsid w:val="00651540"/>
    <w:rsid w:val="00692DBC"/>
    <w:rsid w:val="006B08A3"/>
    <w:rsid w:val="006D08CE"/>
    <w:rsid w:val="006D41D0"/>
    <w:rsid w:val="006D4AB8"/>
    <w:rsid w:val="006D68BE"/>
    <w:rsid w:val="0074029F"/>
    <w:rsid w:val="00754C3B"/>
    <w:rsid w:val="0076588D"/>
    <w:rsid w:val="00784C65"/>
    <w:rsid w:val="007A6C32"/>
    <w:rsid w:val="007F77F1"/>
    <w:rsid w:val="00807DD2"/>
    <w:rsid w:val="00817731"/>
    <w:rsid w:val="00824CB8"/>
    <w:rsid w:val="00865356"/>
    <w:rsid w:val="00885E48"/>
    <w:rsid w:val="008A118E"/>
    <w:rsid w:val="008A2C02"/>
    <w:rsid w:val="008D0F0E"/>
    <w:rsid w:val="008F33DC"/>
    <w:rsid w:val="008F37A5"/>
    <w:rsid w:val="00917C91"/>
    <w:rsid w:val="00930B34"/>
    <w:rsid w:val="009359BB"/>
    <w:rsid w:val="00974CE9"/>
    <w:rsid w:val="009768C0"/>
    <w:rsid w:val="00991BF9"/>
    <w:rsid w:val="00991FA4"/>
    <w:rsid w:val="009A3288"/>
    <w:rsid w:val="009E1A59"/>
    <w:rsid w:val="009E50EF"/>
    <w:rsid w:val="00A00103"/>
    <w:rsid w:val="00A6048A"/>
    <w:rsid w:val="00AF4F7C"/>
    <w:rsid w:val="00B20B10"/>
    <w:rsid w:val="00B570EA"/>
    <w:rsid w:val="00B64D69"/>
    <w:rsid w:val="00BC5BB2"/>
    <w:rsid w:val="00BD0F55"/>
    <w:rsid w:val="00BE40F7"/>
    <w:rsid w:val="00BF7CED"/>
    <w:rsid w:val="00C0174F"/>
    <w:rsid w:val="00C12BF8"/>
    <w:rsid w:val="00C20B6F"/>
    <w:rsid w:val="00C36AED"/>
    <w:rsid w:val="00C539F0"/>
    <w:rsid w:val="00C93254"/>
    <w:rsid w:val="00C93DB7"/>
    <w:rsid w:val="00CA780A"/>
    <w:rsid w:val="00CB50E2"/>
    <w:rsid w:val="00CD210F"/>
    <w:rsid w:val="00D07B07"/>
    <w:rsid w:val="00D07D27"/>
    <w:rsid w:val="00D219C8"/>
    <w:rsid w:val="00D34534"/>
    <w:rsid w:val="00D7790E"/>
    <w:rsid w:val="00DB311C"/>
    <w:rsid w:val="00DC0B97"/>
    <w:rsid w:val="00DD5D7B"/>
    <w:rsid w:val="00E36C94"/>
    <w:rsid w:val="00E502F4"/>
    <w:rsid w:val="00E5142D"/>
    <w:rsid w:val="00E605CB"/>
    <w:rsid w:val="00E73008"/>
    <w:rsid w:val="00E9006F"/>
    <w:rsid w:val="00EA2925"/>
    <w:rsid w:val="00ED2E4F"/>
    <w:rsid w:val="00EE741D"/>
    <w:rsid w:val="00F41297"/>
    <w:rsid w:val="00FA499D"/>
    <w:rsid w:val="00FD031C"/>
    <w:rsid w:val="00FD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580"/>
  <w15:docId w15:val="{EB9B2F47-1AAE-4970-928E-E6C94832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table" w:customStyle="1" w:styleId="TableGrid2">
    <w:name w:val="Table Grid2"/>
    <w:basedOn w:val="TableNormal"/>
    <w:next w:val="TableGrid"/>
    <w:rsid w:val="00D07D2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5F4"/>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9E1A59"/>
    <w:rPr>
      <w:sz w:val="16"/>
      <w:szCs w:val="16"/>
    </w:rPr>
  </w:style>
  <w:style w:type="paragraph" w:styleId="CommentText">
    <w:name w:val="annotation text"/>
    <w:basedOn w:val="Normal"/>
    <w:link w:val="CommentTextChar"/>
    <w:uiPriority w:val="99"/>
    <w:semiHidden/>
    <w:unhideWhenUsed/>
    <w:rsid w:val="009E1A59"/>
    <w:rPr>
      <w:sz w:val="20"/>
      <w:szCs w:val="20"/>
    </w:rPr>
  </w:style>
  <w:style w:type="character" w:customStyle="1" w:styleId="CommentTextChar">
    <w:name w:val="Comment Text Char"/>
    <w:basedOn w:val="DefaultParagraphFont"/>
    <w:link w:val="CommentText"/>
    <w:uiPriority w:val="99"/>
    <w:semiHidden/>
    <w:rsid w:val="009E1A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A59"/>
    <w:rPr>
      <w:b/>
      <w:bCs/>
    </w:rPr>
  </w:style>
  <w:style w:type="character" w:customStyle="1" w:styleId="CommentSubjectChar">
    <w:name w:val="Comment Subject Char"/>
    <w:basedOn w:val="CommentTextChar"/>
    <w:link w:val="CommentSubject"/>
    <w:uiPriority w:val="99"/>
    <w:semiHidden/>
    <w:rsid w:val="009E1A59"/>
    <w:rPr>
      <w:rFonts w:eastAsia="Times New Roman" w:cs="Times New Roman"/>
      <w:b/>
      <w:bCs/>
      <w:sz w:val="20"/>
      <w:szCs w:val="20"/>
    </w:rPr>
  </w:style>
  <w:style w:type="character" w:styleId="Hyperlink">
    <w:name w:val="Hyperlink"/>
    <w:rsid w:val="007F77F1"/>
    <w:rPr>
      <w:color w:val="006699"/>
      <w:u w:val="single"/>
    </w:rPr>
  </w:style>
  <w:style w:type="character" w:styleId="UnresolvedMention">
    <w:name w:val="Unresolved Mention"/>
    <w:basedOn w:val="DefaultParagraphFont"/>
    <w:uiPriority w:val="99"/>
    <w:semiHidden/>
    <w:unhideWhenUsed/>
    <w:rsid w:val="00B570EA"/>
    <w:rPr>
      <w:color w:val="605E5C"/>
      <w:shd w:val="clear" w:color="auto" w:fill="E1DFDD"/>
    </w:rPr>
  </w:style>
  <w:style w:type="character" w:styleId="FollowedHyperlink">
    <w:name w:val="FollowedHyperlink"/>
    <w:basedOn w:val="DefaultParagraphFont"/>
    <w:uiPriority w:val="99"/>
    <w:semiHidden/>
    <w:unhideWhenUsed/>
    <w:rsid w:val="00B570EA"/>
    <w:rPr>
      <w:color w:val="800080" w:themeColor="followedHyperlink"/>
      <w:u w:val="single"/>
    </w:rPr>
  </w:style>
  <w:style w:type="paragraph" w:styleId="Header">
    <w:name w:val="header"/>
    <w:basedOn w:val="Normal"/>
    <w:link w:val="HeaderChar"/>
    <w:uiPriority w:val="99"/>
    <w:unhideWhenUsed/>
    <w:rsid w:val="002015C1"/>
    <w:pPr>
      <w:tabs>
        <w:tab w:val="center" w:pos="4513"/>
        <w:tab w:val="right" w:pos="9026"/>
      </w:tabs>
    </w:pPr>
  </w:style>
  <w:style w:type="character" w:customStyle="1" w:styleId="HeaderChar">
    <w:name w:val="Header Char"/>
    <w:basedOn w:val="DefaultParagraphFont"/>
    <w:link w:val="Header"/>
    <w:uiPriority w:val="99"/>
    <w:rsid w:val="002015C1"/>
    <w:rPr>
      <w:rFonts w:eastAsia="Times New Roman" w:cs="Times New Roman"/>
      <w:szCs w:val="24"/>
    </w:rPr>
  </w:style>
  <w:style w:type="paragraph" w:styleId="Footer">
    <w:name w:val="footer"/>
    <w:basedOn w:val="Normal"/>
    <w:link w:val="FooterChar"/>
    <w:uiPriority w:val="99"/>
    <w:unhideWhenUsed/>
    <w:rsid w:val="002015C1"/>
    <w:pPr>
      <w:tabs>
        <w:tab w:val="center" w:pos="4513"/>
        <w:tab w:val="right" w:pos="9026"/>
      </w:tabs>
    </w:pPr>
  </w:style>
  <w:style w:type="character" w:customStyle="1" w:styleId="FooterChar">
    <w:name w:val="Footer Char"/>
    <w:basedOn w:val="DefaultParagraphFont"/>
    <w:link w:val="Footer"/>
    <w:uiPriority w:val="99"/>
    <w:rsid w:val="002015C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4643">
      <w:bodyDiv w:val="1"/>
      <w:marLeft w:val="0"/>
      <w:marRight w:val="0"/>
      <w:marTop w:val="0"/>
      <w:marBottom w:val="0"/>
      <w:divBdr>
        <w:top w:val="none" w:sz="0" w:space="0" w:color="auto"/>
        <w:left w:val="none" w:sz="0" w:space="0" w:color="auto"/>
        <w:bottom w:val="none" w:sz="0" w:space="0" w:color="auto"/>
        <w:right w:val="none" w:sz="0" w:space="0" w:color="auto"/>
      </w:divBdr>
    </w:div>
    <w:div w:id="188417678">
      <w:bodyDiv w:val="1"/>
      <w:marLeft w:val="0"/>
      <w:marRight w:val="0"/>
      <w:marTop w:val="0"/>
      <w:marBottom w:val="0"/>
      <w:divBdr>
        <w:top w:val="none" w:sz="0" w:space="0" w:color="auto"/>
        <w:left w:val="none" w:sz="0" w:space="0" w:color="auto"/>
        <w:bottom w:val="none" w:sz="0" w:space="0" w:color="auto"/>
        <w:right w:val="none" w:sz="0" w:space="0" w:color="auto"/>
      </w:divBdr>
    </w:div>
    <w:div w:id="621152559">
      <w:bodyDiv w:val="1"/>
      <w:marLeft w:val="0"/>
      <w:marRight w:val="0"/>
      <w:marTop w:val="0"/>
      <w:marBottom w:val="0"/>
      <w:divBdr>
        <w:top w:val="none" w:sz="0" w:space="0" w:color="auto"/>
        <w:left w:val="none" w:sz="0" w:space="0" w:color="auto"/>
        <w:bottom w:val="none" w:sz="0" w:space="0" w:color="auto"/>
        <w:right w:val="none" w:sz="0" w:space="0" w:color="auto"/>
      </w:divBdr>
    </w:div>
    <w:div w:id="971445292">
      <w:bodyDiv w:val="1"/>
      <w:marLeft w:val="0"/>
      <w:marRight w:val="0"/>
      <w:marTop w:val="0"/>
      <w:marBottom w:val="0"/>
      <w:divBdr>
        <w:top w:val="none" w:sz="0" w:space="0" w:color="auto"/>
        <w:left w:val="none" w:sz="0" w:space="0" w:color="auto"/>
        <w:bottom w:val="none" w:sz="0" w:space="0" w:color="auto"/>
        <w:right w:val="none" w:sz="0" w:space="0" w:color="auto"/>
      </w:divBdr>
    </w:div>
    <w:div w:id="1052583434">
      <w:bodyDiv w:val="1"/>
      <w:marLeft w:val="0"/>
      <w:marRight w:val="0"/>
      <w:marTop w:val="0"/>
      <w:marBottom w:val="0"/>
      <w:divBdr>
        <w:top w:val="none" w:sz="0" w:space="0" w:color="auto"/>
        <w:left w:val="none" w:sz="0" w:space="0" w:color="auto"/>
        <w:bottom w:val="none" w:sz="0" w:space="0" w:color="auto"/>
        <w:right w:val="none" w:sz="0" w:space="0" w:color="auto"/>
      </w:divBdr>
    </w:div>
    <w:div w:id="1921791593">
      <w:bodyDiv w:val="1"/>
      <w:marLeft w:val="0"/>
      <w:marRight w:val="0"/>
      <w:marTop w:val="0"/>
      <w:marBottom w:val="0"/>
      <w:divBdr>
        <w:top w:val="none" w:sz="0" w:space="0" w:color="auto"/>
        <w:left w:val="none" w:sz="0" w:space="0" w:color="auto"/>
        <w:bottom w:val="none" w:sz="0" w:space="0" w:color="auto"/>
        <w:right w:val="none" w:sz="0" w:space="0" w:color="auto"/>
      </w:divBdr>
    </w:div>
    <w:div w:id="20950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aqu/documents/CCSSCPolicyAndProcedures.pdf" TargetMode="External"/><Relationship Id="rId18" Type="http://schemas.openxmlformats.org/officeDocument/2006/relationships/hyperlink" Target="https://www2.worc.ac.uk/aqu/documents/APPGForm3SignificantChang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worc.ac.uk/aqu/documents/APPGForm4ProvisionOfInfoForProspectiveStudents.docx" TargetMode="External"/><Relationship Id="rId7" Type="http://schemas.openxmlformats.org/officeDocument/2006/relationships/webSettings" Target="webSettings.xml"/><Relationship Id="rId12" Type="http://schemas.openxmlformats.org/officeDocument/2006/relationships/hyperlink" Target="https://www2.worc.ac.uk/registryservices/1006.htm" TargetMode="External"/><Relationship Id="rId17" Type="http://schemas.openxmlformats.org/officeDocument/2006/relationships/hyperlink" Target="https://www2.worc.ac.uk/aqu/documents/APPGForm3SignificantChang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worc.ac.uk/aqu/762.htm" TargetMode="External"/><Relationship Id="rId20" Type="http://schemas.openxmlformats.org/officeDocument/2006/relationships/hyperlink" Target="https://www2.worc.ac.uk/aqu/documents/APPGForm1NewCourseProposal.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cma-advises-universities-and-students-on-consumer-law"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2.worc.ac.uk/aqu/documents/CTMCTableOfGuidanceModuleAndCourseAmendments.docx" TargetMode="External"/><Relationship Id="rId23" Type="http://schemas.openxmlformats.org/officeDocument/2006/relationships/hyperlink" Target="https://www2.worc.ac.uk/aqu/documents/CTMCTableOfGuidanceModuleAndCourseAmendments.docx" TargetMode="External"/><Relationship Id="rId10" Type="http://schemas.openxmlformats.org/officeDocument/2006/relationships/image" Target="media/image1.jpeg"/><Relationship Id="rId19" Type="http://schemas.openxmlformats.org/officeDocument/2006/relationships/hyperlink" Target="https://www2.worc.ac.uk/aqu/documents/APPGForm4ProvisionOfInfoForProspectiveStudent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worc.ac.uk/aqu/documents/CourseApprovalProcess.pdf" TargetMode="External"/><Relationship Id="rId22" Type="http://schemas.openxmlformats.org/officeDocument/2006/relationships/hyperlink" Target="https://www2.worc.ac.uk/aqu/documents/CourseApproval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4" ma:contentTypeDescription="Create a new document." ma:contentTypeScope="" ma:versionID="219f7666ca2c5993b9fac2d59609d476">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8a82459c70c7fa48d6ce79dd279c952e"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5EDCD-9C94-4B9E-9B69-E16FFBCF52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D9E4F0-6DA5-47B3-84AB-1D73611C52A8}">
  <ds:schemaRefs>
    <ds:schemaRef ds:uri="http://schemas.microsoft.com/sharepoint/v3/contenttype/forms"/>
  </ds:schemaRefs>
</ds:datastoreItem>
</file>

<file path=customXml/itemProps3.xml><?xml version="1.0" encoding="utf-8"?>
<ds:datastoreItem xmlns:ds="http://schemas.openxmlformats.org/officeDocument/2006/customXml" ds:itemID="{B4700E5D-0B95-4562-B11B-91C143A8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Beckwith</dc:creator>
  <cp:lastModifiedBy>Sara Gibbon</cp:lastModifiedBy>
  <cp:revision>2</cp:revision>
  <cp:lastPrinted>2013-12-05T12:00:00Z</cp:lastPrinted>
  <dcterms:created xsi:type="dcterms:W3CDTF">2021-11-23T07:45:00Z</dcterms:created>
  <dcterms:modified xsi:type="dcterms:W3CDTF">2021-11-23T07:45:00Z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