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7D134" w14:textId="7F8CECFF" w:rsidR="00437B07" w:rsidRPr="00437B07" w:rsidRDefault="00437B07" w:rsidP="00437B07">
      <w:pPr>
        <w:jc w:val="center"/>
        <w:rPr>
          <w:rFonts w:ascii="Cambria" w:hAnsi="Cambria" w:cs="Arial"/>
          <w:szCs w:val="22"/>
          <w:lang w:val="en" w:eastAsia="en-GB"/>
        </w:rPr>
      </w:pPr>
      <w:r w:rsidRPr="00437B07">
        <w:rPr>
          <w:rFonts w:ascii="Cambria" w:hAnsi="Cambria" w:cs="Arial"/>
          <w:noProof/>
          <w:szCs w:val="22"/>
          <w:lang w:eastAsia="en-GB"/>
        </w:rPr>
        <w:drawing>
          <wp:inline distT="0" distB="0" distL="0" distR="0" wp14:anchorId="49CE541F" wp14:editId="0B7DFE89">
            <wp:extent cx="17049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11">
                      <a:extLst>
                        <a:ext uri="{28A0092B-C50C-407E-A947-70E740481C1C}">
                          <a14:useLocalDpi xmlns:a14="http://schemas.microsoft.com/office/drawing/2010/main" val="0"/>
                        </a:ext>
                      </a:extLst>
                    </a:blip>
                    <a:stretch>
                      <a:fillRect/>
                    </a:stretch>
                  </pic:blipFill>
                  <pic:spPr>
                    <a:xfrm>
                      <a:off x="0" y="0"/>
                      <a:ext cx="1704975" cy="552450"/>
                    </a:xfrm>
                    <a:prstGeom prst="rect">
                      <a:avLst/>
                    </a:prstGeom>
                  </pic:spPr>
                </pic:pic>
              </a:graphicData>
            </a:graphic>
          </wp:inline>
        </w:drawing>
      </w:r>
    </w:p>
    <w:p w14:paraId="2E019E05" w14:textId="77777777" w:rsidR="00437B07" w:rsidRPr="00437B07" w:rsidRDefault="00437B07" w:rsidP="00437B07">
      <w:pPr>
        <w:jc w:val="center"/>
        <w:rPr>
          <w:rFonts w:ascii="Cambria" w:hAnsi="Cambria" w:cs="Arial"/>
          <w:szCs w:val="22"/>
          <w:lang w:val="en" w:eastAsia="en-GB"/>
        </w:rPr>
      </w:pPr>
    </w:p>
    <w:p w14:paraId="0F17EF79" w14:textId="77777777" w:rsidR="00437B07" w:rsidRPr="00437B07" w:rsidRDefault="00437B07" w:rsidP="00437B07">
      <w:pPr>
        <w:jc w:val="center"/>
        <w:rPr>
          <w:rFonts w:ascii="Cambria" w:hAnsi="Cambria" w:cs="Arial"/>
          <w:szCs w:val="22"/>
          <w:lang w:val="en" w:eastAsia="en-GB"/>
        </w:rPr>
      </w:pPr>
    </w:p>
    <w:tbl>
      <w:tblPr>
        <w:tblW w:w="933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bottom w:w="57" w:type="dxa"/>
        </w:tblCellMar>
        <w:tblLook w:val="01E0" w:firstRow="1" w:lastRow="1" w:firstColumn="1" w:lastColumn="1" w:noHBand="0" w:noVBand="0"/>
      </w:tblPr>
      <w:tblGrid>
        <w:gridCol w:w="9336"/>
      </w:tblGrid>
      <w:tr w:rsidR="00437B07" w:rsidRPr="00A13B9C" w14:paraId="6259F765" w14:textId="77777777" w:rsidTr="00CC2BE1">
        <w:trPr>
          <w:jc w:val="center"/>
        </w:trPr>
        <w:tc>
          <w:tcPr>
            <w:tcW w:w="9336" w:type="dxa"/>
            <w:shd w:val="clear" w:color="auto" w:fill="548DD4" w:themeFill="text2" w:themeFillTint="99"/>
          </w:tcPr>
          <w:p w14:paraId="244ABDA4" w14:textId="77777777" w:rsidR="00437B07" w:rsidRPr="00A13B9C" w:rsidRDefault="00437B07" w:rsidP="00437B07">
            <w:pPr>
              <w:tabs>
                <w:tab w:val="center" w:pos="4320"/>
                <w:tab w:val="right" w:pos="8640"/>
              </w:tabs>
              <w:jc w:val="center"/>
              <w:rPr>
                <w:rFonts w:ascii="Cambria" w:hAnsi="Cambria" w:cs="Arial"/>
                <w:b/>
                <w:szCs w:val="22"/>
                <w:lang w:val="en-AU"/>
              </w:rPr>
            </w:pPr>
            <w:r w:rsidRPr="00A13B9C">
              <w:rPr>
                <w:rFonts w:ascii="Cambria" w:hAnsi="Cambria" w:cs="Arial"/>
                <w:b/>
                <w:szCs w:val="22"/>
                <w:lang w:val="en-AU"/>
              </w:rPr>
              <w:t>POLICY</w:t>
            </w:r>
          </w:p>
        </w:tc>
      </w:tr>
      <w:tr w:rsidR="00437B07" w:rsidRPr="00527018" w14:paraId="4C3A8FBF" w14:textId="77777777" w:rsidTr="00677611">
        <w:trPr>
          <w:trHeight w:val="713"/>
          <w:jc w:val="center"/>
        </w:trPr>
        <w:tc>
          <w:tcPr>
            <w:tcW w:w="9336" w:type="dxa"/>
            <w:tcBorders>
              <w:bottom w:val="single" w:sz="4" w:space="0" w:color="C0C0C0"/>
            </w:tcBorders>
            <w:vAlign w:val="center"/>
          </w:tcPr>
          <w:p w14:paraId="0C12E728" w14:textId="379A89E4" w:rsidR="00437B07" w:rsidRPr="00527018" w:rsidRDefault="00437B07" w:rsidP="00677611">
            <w:pPr>
              <w:jc w:val="center"/>
              <w:rPr>
                <w:rFonts w:ascii="Calibri" w:eastAsia="Calibri" w:hAnsi="Calibri"/>
                <w:szCs w:val="22"/>
                <w:lang w:eastAsia="en-GB"/>
              </w:rPr>
            </w:pPr>
            <w:r w:rsidRPr="00527018">
              <w:rPr>
                <w:rFonts w:ascii="Calibri" w:eastAsia="Calibri" w:hAnsi="Calibri"/>
                <w:szCs w:val="22"/>
                <w:lang w:eastAsia="en-GB"/>
              </w:rPr>
              <w:t>Policy for course closure, suspension and</w:t>
            </w:r>
            <w:r w:rsidR="0080435E" w:rsidRPr="00527018">
              <w:rPr>
                <w:rFonts w:ascii="Calibri" w:eastAsia="Calibri" w:hAnsi="Calibri"/>
                <w:szCs w:val="22"/>
                <w:lang w:eastAsia="en-GB"/>
              </w:rPr>
              <w:t xml:space="preserve"> significant</w:t>
            </w:r>
            <w:r w:rsidRPr="00527018">
              <w:rPr>
                <w:rFonts w:ascii="Calibri" w:eastAsia="Calibri" w:hAnsi="Calibri"/>
                <w:szCs w:val="22"/>
                <w:lang w:eastAsia="en-GB"/>
              </w:rPr>
              <w:t xml:space="preserve"> change</w:t>
            </w:r>
          </w:p>
        </w:tc>
      </w:tr>
      <w:tr w:rsidR="00437B07" w:rsidRPr="00527018" w14:paraId="56DE68C0" w14:textId="77777777" w:rsidTr="00677611">
        <w:trPr>
          <w:trHeight w:val="438"/>
          <w:jc w:val="center"/>
        </w:trPr>
        <w:tc>
          <w:tcPr>
            <w:tcW w:w="9336" w:type="dxa"/>
            <w:shd w:val="clear" w:color="auto" w:fill="548DD4" w:themeFill="text2" w:themeFillTint="99"/>
            <w:vAlign w:val="center"/>
          </w:tcPr>
          <w:p w14:paraId="659316CB" w14:textId="575EE014" w:rsidR="00437B07" w:rsidRPr="00527018" w:rsidRDefault="00437B07" w:rsidP="00677611">
            <w:pPr>
              <w:tabs>
                <w:tab w:val="center" w:pos="4320"/>
                <w:tab w:val="right" w:pos="8640"/>
              </w:tabs>
              <w:rPr>
                <w:rFonts w:asciiTheme="minorHAnsi" w:hAnsiTheme="minorHAnsi" w:cs="Arial"/>
                <w:b/>
                <w:szCs w:val="22"/>
                <w:lang w:val="en-AU"/>
              </w:rPr>
            </w:pPr>
            <w:r w:rsidRPr="00527018">
              <w:rPr>
                <w:rFonts w:ascii="Cambria" w:hAnsi="Cambria" w:cs="Arial"/>
                <w:b/>
                <w:szCs w:val="22"/>
                <w:lang w:eastAsia="en-GB"/>
              </w:rPr>
              <w:t>Contact Officer</w:t>
            </w:r>
          </w:p>
        </w:tc>
      </w:tr>
      <w:tr w:rsidR="00437B07" w:rsidRPr="00527018" w14:paraId="2594856B" w14:textId="77777777" w:rsidTr="00A42940">
        <w:trPr>
          <w:trHeight w:val="530"/>
          <w:jc w:val="center"/>
        </w:trPr>
        <w:tc>
          <w:tcPr>
            <w:tcW w:w="9336" w:type="dxa"/>
            <w:vAlign w:val="center"/>
          </w:tcPr>
          <w:p w14:paraId="2D656305" w14:textId="0CF3D0E3" w:rsidR="00437B07" w:rsidRPr="00527018" w:rsidRDefault="00437B07" w:rsidP="00A42940">
            <w:pPr>
              <w:rPr>
                <w:rFonts w:asciiTheme="minorHAnsi" w:hAnsiTheme="minorHAnsi" w:cs="Arial"/>
                <w:szCs w:val="22"/>
                <w:lang w:val="en-US"/>
              </w:rPr>
            </w:pPr>
            <w:r w:rsidRPr="00527018">
              <w:rPr>
                <w:rFonts w:ascii="Calibri" w:eastAsia="Calibri" w:hAnsi="Calibri"/>
                <w:szCs w:val="22"/>
                <w:lang w:eastAsia="en-GB"/>
              </w:rPr>
              <w:t>Director of Quality and Educational Development</w:t>
            </w:r>
            <w:r w:rsidR="00CC2BE1" w:rsidRPr="00527018">
              <w:rPr>
                <w:rFonts w:ascii="Calibri" w:eastAsia="Calibri" w:hAnsi="Calibri"/>
                <w:szCs w:val="22"/>
                <w:lang w:eastAsia="en-GB"/>
              </w:rPr>
              <w:t xml:space="preserve"> and Academic Registrar</w:t>
            </w:r>
          </w:p>
        </w:tc>
      </w:tr>
    </w:tbl>
    <w:p w14:paraId="4DCF221A" w14:textId="77777777" w:rsidR="00437B07" w:rsidRPr="00527018" w:rsidRDefault="00437B07" w:rsidP="00437B07">
      <w:pPr>
        <w:rPr>
          <w:rFonts w:ascii="Cambria" w:hAnsi="Cambria" w:cs="Arial"/>
          <w:b/>
          <w:szCs w:val="22"/>
          <w:lang w:eastAsia="en-GB"/>
        </w:rPr>
      </w:pPr>
    </w:p>
    <w:tbl>
      <w:tblPr>
        <w:tblW w:w="935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2" w:type="dxa"/>
          <w:bottom w:w="142" w:type="dxa"/>
        </w:tblCellMar>
        <w:tblLook w:val="01E0" w:firstRow="1" w:lastRow="1" w:firstColumn="1" w:lastColumn="1" w:noHBand="0" w:noVBand="0"/>
      </w:tblPr>
      <w:tblGrid>
        <w:gridCol w:w="9351"/>
      </w:tblGrid>
      <w:tr w:rsidR="00437B07" w:rsidRPr="00527018" w14:paraId="4ED85077" w14:textId="77777777" w:rsidTr="006F617B">
        <w:trPr>
          <w:jc w:val="center"/>
        </w:trPr>
        <w:tc>
          <w:tcPr>
            <w:tcW w:w="9351" w:type="dxa"/>
            <w:tcBorders>
              <w:bottom w:val="single" w:sz="4" w:space="0" w:color="C0C0C0"/>
            </w:tcBorders>
            <w:shd w:val="clear" w:color="auto" w:fill="548DD4" w:themeFill="text2" w:themeFillTint="99"/>
          </w:tcPr>
          <w:p w14:paraId="1E5C1D2F" w14:textId="77777777" w:rsidR="00437B07" w:rsidRPr="00527018" w:rsidRDefault="00437B07" w:rsidP="00437B07">
            <w:pPr>
              <w:rPr>
                <w:rFonts w:ascii="Cambria" w:hAnsi="Cambria" w:cs="Arial"/>
                <w:i/>
                <w:szCs w:val="22"/>
                <w:lang w:eastAsia="en-GB"/>
              </w:rPr>
            </w:pPr>
            <w:r w:rsidRPr="00527018">
              <w:rPr>
                <w:rFonts w:ascii="Cambria" w:hAnsi="Cambria" w:cs="Arial"/>
                <w:b/>
                <w:szCs w:val="22"/>
                <w:lang w:eastAsia="en-GB"/>
              </w:rPr>
              <w:t>Purpose</w:t>
            </w:r>
          </w:p>
        </w:tc>
      </w:tr>
      <w:tr w:rsidR="00437B07" w:rsidRPr="00527018" w14:paraId="50660C92" w14:textId="77777777" w:rsidTr="006F617B">
        <w:trPr>
          <w:jc w:val="center"/>
        </w:trPr>
        <w:tc>
          <w:tcPr>
            <w:tcW w:w="9351" w:type="dxa"/>
            <w:shd w:val="clear" w:color="auto" w:fill="auto"/>
          </w:tcPr>
          <w:p w14:paraId="5B93CE81" w14:textId="3EA8B536" w:rsidR="00437B07" w:rsidRPr="00527018" w:rsidRDefault="00437B07" w:rsidP="00437B07">
            <w:pPr>
              <w:rPr>
                <w:rFonts w:ascii="Calibri" w:eastAsia="Calibri" w:hAnsi="Calibri"/>
                <w:szCs w:val="22"/>
                <w:lang w:eastAsia="en-GB"/>
              </w:rPr>
            </w:pPr>
            <w:r w:rsidRPr="00527018">
              <w:rPr>
                <w:rFonts w:ascii="Calibri" w:eastAsia="Calibri" w:hAnsi="Calibri"/>
                <w:szCs w:val="22"/>
                <w:lang w:eastAsia="en-GB"/>
              </w:rPr>
              <w:t>To inform members of the University</w:t>
            </w:r>
            <w:r w:rsidR="00A77343" w:rsidRPr="00527018">
              <w:rPr>
                <w:rFonts w:ascii="Calibri" w:eastAsia="Calibri" w:hAnsi="Calibri"/>
                <w:szCs w:val="22"/>
                <w:lang w:eastAsia="en-GB"/>
              </w:rPr>
              <w:t xml:space="preserve"> including students, potential students and other external interested parties,</w:t>
            </w:r>
            <w:r w:rsidRPr="00527018">
              <w:rPr>
                <w:rFonts w:ascii="Calibri" w:eastAsia="Calibri" w:hAnsi="Calibri"/>
                <w:szCs w:val="22"/>
                <w:lang w:eastAsia="en-GB"/>
              </w:rPr>
              <w:t xml:space="preserve"> of the principles recognised for closing, suspending or making </w:t>
            </w:r>
            <w:r w:rsidR="0080435E" w:rsidRPr="00527018">
              <w:rPr>
                <w:rFonts w:ascii="Calibri" w:eastAsia="Calibri" w:hAnsi="Calibri"/>
                <w:szCs w:val="22"/>
                <w:lang w:eastAsia="en-GB"/>
              </w:rPr>
              <w:t xml:space="preserve">significant </w:t>
            </w:r>
            <w:r w:rsidRPr="00527018">
              <w:rPr>
                <w:rFonts w:ascii="Calibri" w:eastAsia="Calibri" w:hAnsi="Calibri"/>
                <w:szCs w:val="22"/>
                <w:lang w:eastAsia="en-GB"/>
              </w:rPr>
              <w:t xml:space="preserve">changes to courses or programmes of study.  </w:t>
            </w:r>
          </w:p>
        </w:tc>
      </w:tr>
      <w:tr w:rsidR="00437B07" w:rsidRPr="00527018" w14:paraId="089490BA" w14:textId="77777777" w:rsidTr="006F617B">
        <w:trPr>
          <w:jc w:val="center"/>
        </w:trPr>
        <w:tc>
          <w:tcPr>
            <w:tcW w:w="9351" w:type="dxa"/>
            <w:tcBorders>
              <w:bottom w:val="single" w:sz="4" w:space="0" w:color="C0C0C0"/>
            </w:tcBorders>
            <w:shd w:val="clear" w:color="auto" w:fill="548DD4" w:themeFill="text2" w:themeFillTint="99"/>
          </w:tcPr>
          <w:p w14:paraId="75FD117B" w14:textId="77777777" w:rsidR="00437B07" w:rsidRPr="00527018" w:rsidRDefault="00437B07" w:rsidP="00437B07">
            <w:pPr>
              <w:rPr>
                <w:rFonts w:ascii="Calibri" w:eastAsia="Calibri" w:hAnsi="Calibri"/>
                <w:szCs w:val="22"/>
                <w:lang w:eastAsia="en-GB"/>
              </w:rPr>
            </w:pPr>
            <w:r w:rsidRPr="00527018">
              <w:rPr>
                <w:rFonts w:ascii="Cambria" w:hAnsi="Cambria" w:cs="Arial"/>
                <w:b/>
                <w:szCs w:val="22"/>
                <w:lang w:eastAsia="en-GB"/>
              </w:rPr>
              <w:t>Overview</w:t>
            </w:r>
          </w:p>
        </w:tc>
      </w:tr>
      <w:tr w:rsidR="00437B07" w:rsidRPr="00527018" w14:paraId="5800A723" w14:textId="77777777" w:rsidTr="006F617B">
        <w:trPr>
          <w:jc w:val="center"/>
        </w:trPr>
        <w:tc>
          <w:tcPr>
            <w:tcW w:w="9351" w:type="dxa"/>
            <w:shd w:val="clear" w:color="auto" w:fill="auto"/>
          </w:tcPr>
          <w:p w14:paraId="4680D88E" w14:textId="24963C96" w:rsidR="00437B07" w:rsidRPr="00527018" w:rsidRDefault="00437B07" w:rsidP="00A10FA1">
            <w:pPr>
              <w:autoSpaceDE w:val="0"/>
              <w:autoSpaceDN w:val="0"/>
              <w:adjustRightInd w:val="0"/>
              <w:rPr>
                <w:rFonts w:ascii="Cambria" w:hAnsi="Cambria" w:cs="Arial"/>
                <w:i/>
                <w:szCs w:val="22"/>
                <w:lang w:eastAsia="en-GB"/>
              </w:rPr>
            </w:pPr>
            <w:r w:rsidRPr="00527018">
              <w:rPr>
                <w:rFonts w:ascii="Calibri" w:eastAsia="Calibri" w:hAnsi="Calibri"/>
                <w:szCs w:val="22"/>
                <w:lang w:eastAsia="en-GB"/>
              </w:rPr>
              <w:t xml:space="preserve">The University regularly reviews and updates the courses and modules offered in order to ensure that they remain current and reflect best practice.  In exceptional circumstances this means that a course or programme may cease to exist or the University may no longer be able to teach a programme or an aspect of a programme to a specific group of students, or the University may introduce a </w:t>
            </w:r>
            <w:r w:rsidR="00A30F03" w:rsidRPr="00527018">
              <w:rPr>
                <w:rFonts w:ascii="Calibri" w:eastAsia="Calibri" w:hAnsi="Calibri"/>
                <w:szCs w:val="22"/>
                <w:lang w:eastAsia="en-GB"/>
              </w:rPr>
              <w:t xml:space="preserve">significant </w:t>
            </w:r>
            <w:r w:rsidRPr="00527018">
              <w:rPr>
                <w:rFonts w:ascii="Calibri" w:eastAsia="Calibri" w:hAnsi="Calibri"/>
                <w:szCs w:val="22"/>
                <w:lang w:eastAsia="en-GB"/>
              </w:rPr>
              <w:t xml:space="preserve">change which will impact on applicants and/or current students.  </w:t>
            </w:r>
          </w:p>
        </w:tc>
      </w:tr>
      <w:tr w:rsidR="00437B07" w:rsidRPr="00527018" w14:paraId="4D3B2E72" w14:textId="77777777" w:rsidTr="006F617B">
        <w:trPr>
          <w:jc w:val="center"/>
        </w:trPr>
        <w:tc>
          <w:tcPr>
            <w:tcW w:w="9351" w:type="dxa"/>
            <w:tcBorders>
              <w:bottom w:val="single" w:sz="4" w:space="0" w:color="C0C0C0"/>
            </w:tcBorders>
            <w:shd w:val="clear" w:color="auto" w:fill="548DD4" w:themeFill="text2" w:themeFillTint="99"/>
          </w:tcPr>
          <w:p w14:paraId="2C18C49B" w14:textId="77777777" w:rsidR="00437B07" w:rsidRPr="00527018" w:rsidRDefault="00437B07" w:rsidP="00437B07">
            <w:pPr>
              <w:rPr>
                <w:rFonts w:ascii="Cambria" w:hAnsi="Cambria" w:cs="Arial"/>
                <w:szCs w:val="22"/>
                <w:lang w:eastAsia="en-GB"/>
              </w:rPr>
            </w:pPr>
            <w:r w:rsidRPr="00527018">
              <w:rPr>
                <w:rFonts w:ascii="Cambria" w:hAnsi="Cambria" w:cs="Arial"/>
                <w:b/>
                <w:szCs w:val="22"/>
                <w:lang w:eastAsia="en-GB"/>
              </w:rPr>
              <w:t>Scope</w:t>
            </w:r>
          </w:p>
        </w:tc>
      </w:tr>
      <w:tr w:rsidR="00437B07" w:rsidRPr="00527018" w14:paraId="0FA66037" w14:textId="77777777" w:rsidTr="006F617B">
        <w:trPr>
          <w:jc w:val="center"/>
        </w:trPr>
        <w:tc>
          <w:tcPr>
            <w:tcW w:w="9351" w:type="dxa"/>
            <w:shd w:val="clear" w:color="auto" w:fill="auto"/>
          </w:tcPr>
          <w:p w14:paraId="7271B7D5" w14:textId="77777777" w:rsidR="00437B07" w:rsidRPr="00527018" w:rsidRDefault="00437B07" w:rsidP="00A10FA1">
            <w:pPr>
              <w:rPr>
                <w:rFonts w:ascii="Cambria" w:hAnsi="Cambria" w:cs="Arial"/>
                <w:i/>
                <w:szCs w:val="22"/>
                <w:lang w:eastAsia="en-GB"/>
              </w:rPr>
            </w:pPr>
            <w:r w:rsidRPr="00527018">
              <w:rPr>
                <w:rFonts w:ascii="Calibri" w:eastAsia="Calibri" w:hAnsi="Calibri"/>
                <w:szCs w:val="22"/>
                <w:lang w:eastAsia="en-GB"/>
              </w:rPr>
              <w:t>All members of the University</w:t>
            </w:r>
            <w:r w:rsidR="00A10FA1" w:rsidRPr="00527018">
              <w:rPr>
                <w:rFonts w:ascii="Calibri" w:eastAsia="Calibri" w:hAnsi="Calibri"/>
                <w:szCs w:val="22"/>
                <w:lang w:eastAsia="en-GB"/>
              </w:rPr>
              <w:t>.</w:t>
            </w:r>
            <w:r w:rsidRPr="00527018">
              <w:rPr>
                <w:rFonts w:ascii="Calibri" w:hAnsi="Calibri" w:cs="Arial"/>
                <w:szCs w:val="22"/>
                <w:lang w:eastAsia="en-GB"/>
              </w:rPr>
              <w:t xml:space="preserve"> </w:t>
            </w:r>
          </w:p>
        </w:tc>
      </w:tr>
      <w:tr w:rsidR="00437B07" w:rsidRPr="00527018" w14:paraId="4E06AFE6" w14:textId="77777777" w:rsidTr="006F617B">
        <w:trPr>
          <w:jc w:val="center"/>
        </w:trPr>
        <w:tc>
          <w:tcPr>
            <w:tcW w:w="9351" w:type="dxa"/>
            <w:tcBorders>
              <w:bottom w:val="single" w:sz="4" w:space="0" w:color="C0C0C0"/>
            </w:tcBorders>
            <w:shd w:val="clear" w:color="auto" w:fill="548DD4" w:themeFill="text2" w:themeFillTint="99"/>
          </w:tcPr>
          <w:p w14:paraId="7CC5DEF1" w14:textId="77777777" w:rsidR="00437B07" w:rsidRPr="00527018" w:rsidRDefault="00437B07" w:rsidP="00437B07">
            <w:pPr>
              <w:rPr>
                <w:rFonts w:ascii="Cambria" w:hAnsi="Cambria" w:cs="Arial"/>
                <w:i/>
                <w:szCs w:val="22"/>
                <w:lang w:eastAsia="en-GB"/>
              </w:rPr>
            </w:pPr>
            <w:r w:rsidRPr="00527018">
              <w:rPr>
                <w:rFonts w:ascii="Cambria" w:hAnsi="Cambria" w:cs="Arial"/>
                <w:b/>
                <w:szCs w:val="22"/>
                <w:lang w:eastAsia="en-GB"/>
              </w:rPr>
              <w:t>The Policy</w:t>
            </w:r>
          </w:p>
        </w:tc>
      </w:tr>
      <w:tr w:rsidR="00437B07" w:rsidRPr="00A13B9C" w14:paraId="7894DCC2" w14:textId="77777777" w:rsidTr="006F617B">
        <w:trPr>
          <w:jc w:val="center"/>
        </w:trPr>
        <w:tc>
          <w:tcPr>
            <w:tcW w:w="9351" w:type="dxa"/>
            <w:shd w:val="clear" w:color="auto" w:fill="auto"/>
          </w:tcPr>
          <w:p w14:paraId="69521E08" w14:textId="2A488D04" w:rsidR="00505E66" w:rsidRPr="00737322" w:rsidRDefault="00437B07" w:rsidP="00DE684E">
            <w:pPr>
              <w:numPr>
                <w:ilvl w:val="0"/>
                <w:numId w:val="4"/>
              </w:numPr>
              <w:ind w:hanging="720"/>
              <w:contextualSpacing/>
              <w:rPr>
                <w:rFonts w:ascii="Calibri" w:hAnsi="Calibri" w:cs="Calibri"/>
                <w:szCs w:val="22"/>
              </w:rPr>
            </w:pPr>
            <w:r w:rsidRPr="00737322">
              <w:rPr>
                <w:rFonts w:ascii="Calibri" w:hAnsi="Calibri" w:cs="Arial"/>
                <w:szCs w:val="22"/>
                <w:lang w:eastAsia="en-GB"/>
              </w:rPr>
              <w:t xml:space="preserve">In all instances where courses are being considered for closure, suspension or </w:t>
            </w:r>
            <w:r w:rsidR="00CD0711" w:rsidRPr="00737322">
              <w:rPr>
                <w:rFonts w:ascii="Calibri" w:eastAsia="Calibri" w:hAnsi="Calibri"/>
                <w:szCs w:val="22"/>
                <w:lang w:eastAsia="en-GB"/>
              </w:rPr>
              <w:t>significant</w:t>
            </w:r>
            <w:r w:rsidR="00CD0711" w:rsidRPr="00737322">
              <w:rPr>
                <w:rFonts w:ascii="Calibri" w:hAnsi="Calibri" w:cs="Arial"/>
                <w:strike/>
                <w:szCs w:val="22"/>
                <w:lang w:eastAsia="en-GB"/>
              </w:rPr>
              <w:t xml:space="preserve"> </w:t>
            </w:r>
            <w:r w:rsidRPr="00737322">
              <w:rPr>
                <w:rFonts w:ascii="Calibri" w:hAnsi="Calibri" w:cs="Arial"/>
                <w:szCs w:val="22"/>
                <w:lang w:eastAsia="en-GB"/>
              </w:rPr>
              <w:t>change to an undergraduate or taught postgraduate course, the University will follow a set, published, procedure</w:t>
            </w:r>
            <w:r w:rsidR="008B2924" w:rsidRPr="00737322">
              <w:rPr>
                <w:rFonts w:ascii="Calibri" w:hAnsi="Calibri" w:cs="Arial"/>
                <w:szCs w:val="22"/>
                <w:lang w:eastAsia="en-GB"/>
              </w:rPr>
              <w:t>.</w:t>
            </w:r>
            <w:r w:rsidRPr="00527018">
              <w:rPr>
                <w:rFonts w:cs="Arial"/>
                <w:szCs w:val="22"/>
                <w:vertAlign w:val="superscript"/>
                <w:lang w:eastAsia="en-GB"/>
              </w:rPr>
              <w:footnoteReference w:id="1"/>
            </w:r>
            <w:r w:rsidRPr="00737322">
              <w:rPr>
                <w:rFonts w:ascii="Calibri" w:hAnsi="Calibri" w:cs="Arial"/>
                <w:szCs w:val="22"/>
                <w:lang w:eastAsia="en-GB"/>
              </w:rPr>
              <w:t xml:space="preserve">  </w:t>
            </w:r>
            <w:r w:rsidR="00505E66" w:rsidRPr="00737322">
              <w:rPr>
                <w:rFonts w:ascii="Calibri" w:hAnsi="Calibri" w:cs="Calibri"/>
              </w:rPr>
              <w:t xml:space="preserve">These procedures align with the </w:t>
            </w:r>
            <w:hyperlink r:id="rId12" w:history="1">
              <w:r w:rsidR="00505E66" w:rsidRPr="00737322">
                <w:rPr>
                  <w:rStyle w:val="Hyperlink"/>
                  <w:rFonts w:ascii="Calibri" w:hAnsi="Calibri" w:cs="Calibri"/>
                  <w:b/>
                </w:rPr>
                <w:t>UK Quality Code for Higher Education</w:t>
              </w:r>
            </w:hyperlink>
            <w:r w:rsidR="00505E66" w:rsidRPr="00737322">
              <w:rPr>
                <w:rFonts w:ascii="Calibri" w:hAnsi="Calibri" w:cs="Calibri"/>
              </w:rPr>
              <w:t xml:space="preserve"> and take account of </w:t>
            </w:r>
            <w:r w:rsidR="00505E66" w:rsidRPr="00737322">
              <w:rPr>
                <w:rFonts w:ascii="Calibri" w:hAnsi="Calibri" w:cs="Calibri"/>
                <w:bCs/>
              </w:rPr>
              <w:t xml:space="preserve">the </w:t>
            </w:r>
            <w:hyperlink r:id="rId13" w:history="1">
              <w:r w:rsidR="00505E66" w:rsidRPr="00737322">
                <w:rPr>
                  <w:rStyle w:val="Hyperlink"/>
                  <w:rFonts w:ascii="Calibri" w:hAnsi="Calibri" w:cs="Calibri"/>
                  <w:b/>
                </w:rPr>
                <w:t>Office for Students Regulatory Framework for Higher Education in England</w:t>
              </w:r>
            </w:hyperlink>
            <w:r w:rsidR="00505E66" w:rsidRPr="00737322">
              <w:rPr>
                <w:rFonts w:ascii="Calibri" w:hAnsi="Calibri" w:cs="Calibri"/>
                <w:color w:val="000000"/>
              </w:rPr>
              <w:t xml:space="preserve"> and </w:t>
            </w:r>
            <w:r w:rsidR="00505E66" w:rsidRPr="00737322">
              <w:rPr>
                <w:rFonts w:ascii="Calibri" w:hAnsi="Calibri" w:cs="Calibri"/>
                <w:b/>
                <w:bCs/>
                <w:color w:val="000000"/>
              </w:rPr>
              <w:t>Student Protection Plans</w:t>
            </w:r>
            <w:r w:rsidR="00505E66" w:rsidRPr="00737322">
              <w:rPr>
                <w:rFonts w:ascii="Calibri" w:hAnsi="Calibri" w:cs="Calibri"/>
              </w:rPr>
              <w:t xml:space="preserve"> as well as the </w:t>
            </w:r>
            <w:hyperlink r:id="rId14" w:history="1">
              <w:r w:rsidR="00572CDA" w:rsidRPr="00737322">
                <w:rPr>
                  <w:rStyle w:val="Hyperlink"/>
                  <w:rFonts w:ascii="Calibri" w:hAnsi="Calibri" w:cs="Calibri"/>
                  <w:b/>
                </w:rPr>
                <w:t>Competition and Markets Authority guidance on consumer law for UK HE providers</w:t>
              </w:r>
            </w:hyperlink>
            <w:r w:rsidR="00572CDA" w:rsidRPr="00737322">
              <w:rPr>
                <w:rFonts w:ascii="Calibri" w:hAnsi="Calibri" w:cs="Calibri"/>
              </w:rPr>
              <w:t xml:space="preserve"> (2015).</w:t>
            </w:r>
          </w:p>
          <w:p w14:paraId="0E5717C3" w14:textId="77777777" w:rsidR="00505E66" w:rsidRPr="00737322" w:rsidRDefault="00505E66" w:rsidP="00505E66">
            <w:pPr>
              <w:rPr>
                <w:rFonts w:ascii="Calibri" w:hAnsi="Calibri" w:cs="Calibri"/>
                <w:color w:val="1F497D"/>
              </w:rPr>
            </w:pPr>
          </w:p>
          <w:p w14:paraId="7BDEA490" w14:textId="73A10F68" w:rsidR="00437B07" w:rsidRPr="00527018" w:rsidRDefault="00437B07" w:rsidP="00437B07">
            <w:pPr>
              <w:numPr>
                <w:ilvl w:val="0"/>
                <w:numId w:val="4"/>
              </w:numPr>
              <w:ind w:hanging="720"/>
              <w:contextualSpacing/>
              <w:rPr>
                <w:rFonts w:ascii="Calibri" w:eastAsia="MS Mincho" w:hAnsi="Calibri"/>
                <w:color w:val="000000"/>
                <w:szCs w:val="22"/>
                <w:lang w:eastAsia="ja-JP"/>
              </w:rPr>
            </w:pPr>
            <w:r w:rsidRPr="00527018">
              <w:rPr>
                <w:rFonts w:ascii="Calibri" w:eastAsia="MS Mincho" w:hAnsi="Calibri"/>
                <w:color w:val="000000"/>
                <w:szCs w:val="22"/>
                <w:lang w:eastAsia="ja-JP"/>
              </w:rPr>
              <w:t xml:space="preserve">In particular the procedures seek to protect the interests of applicants and students by ensuring clear and transparent processes for the management of course closure, suspension or </w:t>
            </w:r>
            <w:r w:rsidR="00CD0711" w:rsidRPr="00527018">
              <w:rPr>
                <w:rFonts w:ascii="Calibri" w:eastAsia="Calibri" w:hAnsi="Calibri"/>
                <w:szCs w:val="22"/>
                <w:lang w:eastAsia="en-GB"/>
              </w:rPr>
              <w:t>significant</w:t>
            </w:r>
            <w:r w:rsidR="00CD0711" w:rsidRPr="00527018">
              <w:rPr>
                <w:rFonts w:ascii="Calibri" w:eastAsia="MS Mincho" w:hAnsi="Calibri"/>
                <w:color w:val="000000"/>
                <w:szCs w:val="22"/>
                <w:lang w:eastAsia="ja-JP"/>
              </w:rPr>
              <w:t xml:space="preserve"> </w:t>
            </w:r>
            <w:r w:rsidRPr="00527018">
              <w:rPr>
                <w:rFonts w:ascii="Calibri" w:eastAsia="MS Mincho" w:hAnsi="Calibri"/>
                <w:color w:val="000000"/>
                <w:szCs w:val="22"/>
                <w:lang w:eastAsia="ja-JP"/>
              </w:rPr>
              <w:t xml:space="preserve">change in relation to the experience of applicants who have accepted an offer of a place, but not yet registered, and those that have deferred their offer; and the experience of students who are current or have temporarily withdrawn from the course.  As such, the procedures align with the University </w:t>
            </w:r>
            <w:hyperlink r:id="rId15" w:history="1">
              <w:r w:rsidRPr="00527018">
                <w:rPr>
                  <w:rFonts w:ascii="Calibri" w:eastAsia="MS Mincho" w:hAnsi="Calibri"/>
                  <w:color w:val="0000FF"/>
                  <w:szCs w:val="22"/>
                  <w:u w:val="single"/>
                  <w:lang w:eastAsia="ja-JP"/>
                </w:rPr>
                <w:t>Terms and Conditions for Applicants</w:t>
              </w:r>
            </w:hyperlink>
            <w:r w:rsidRPr="00527018">
              <w:rPr>
                <w:rFonts w:ascii="Calibri" w:eastAsia="MS Mincho" w:hAnsi="Calibri"/>
                <w:color w:val="000000"/>
                <w:szCs w:val="22"/>
                <w:lang w:eastAsia="ja-JP"/>
              </w:rPr>
              <w:t>.</w:t>
            </w:r>
          </w:p>
          <w:p w14:paraId="275C35A1" w14:textId="77777777" w:rsidR="00437B07" w:rsidRPr="00527018" w:rsidRDefault="00437B07" w:rsidP="00437B07">
            <w:pPr>
              <w:contextualSpacing/>
              <w:rPr>
                <w:rFonts w:ascii="Calibri" w:eastAsia="MS Mincho" w:hAnsi="Calibri"/>
                <w:color w:val="000000"/>
                <w:szCs w:val="22"/>
                <w:lang w:eastAsia="ja-JP"/>
              </w:rPr>
            </w:pPr>
          </w:p>
          <w:p w14:paraId="17822B25" w14:textId="77777777" w:rsidR="00437B07" w:rsidRPr="00527018" w:rsidRDefault="00437B07" w:rsidP="00437B07">
            <w:pPr>
              <w:numPr>
                <w:ilvl w:val="0"/>
                <w:numId w:val="4"/>
              </w:numPr>
              <w:ind w:hanging="720"/>
              <w:contextualSpacing/>
              <w:rPr>
                <w:rFonts w:ascii="Calibri" w:hAnsi="Calibri" w:cs="Arial"/>
                <w:szCs w:val="22"/>
                <w:lang w:eastAsia="en-GB"/>
              </w:rPr>
            </w:pPr>
            <w:r w:rsidRPr="00527018">
              <w:rPr>
                <w:rFonts w:ascii="Calibri" w:hAnsi="Calibri" w:cs="Arial"/>
                <w:szCs w:val="22"/>
                <w:lang w:eastAsia="en-GB"/>
              </w:rPr>
              <w:lastRenderedPageBreak/>
              <w:t>It should be noted that whilst these procedures set out the usual process, the University reserves the right to use discretion in applying these in order to ensure that all obligations are met, particularly if circumstances are complex or deemed to be of high risk.</w:t>
            </w:r>
          </w:p>
          <w:p w14:paraId="77BDF31E" w14:textId="77777777" w:rsidR="00437B07" w:rsidRPr="00527018" w:rsidRDefault="00437B07" w:rsidP="00437B07">
            <w:pPr>
              <w:contextualSpacing/>
              <w:rPr>
                <w:rFonts w:ascii="Calibri" w:eastAsia="MS Mincho" w:hAnsi="Calibri"/>
                <w:color w:val="000000"/>
                <w:szCs w:val="22"/>
                <w:lang w:eastAsia="ja-JP"/>
              </w:rPr>
            </w:pPr>
          </w:p>
          <w:p w14:paraId="4D24CD71" w14:textId="77777777" w:rsidR="00437B07" w:rsidRPr="00527018" w:rsidRDefault="00437B07" w:rsidP="00437B07">
            <w:pPr>
              <w:contextualSpacing/>
              <w:rPr>
                <w:rFonts w:ascii="Calibri" w:eastAsia="MS Mincho" w:hAnsi="Calibri"/>
                <w:b/>
                <w:color w:val="000000"/>
                <w:szCs w:val="22"/>
                <w:lang w:eastAsia="ja-JP"/>
              </w:rPr>
            </w:pPr>
            <w:r w:rsidRPr="00527018">
              <w:rPr>
                <w:rFonts w:ascii="Calibri" w:eastAsia="MS Mincho" w:hAnsi="Calibri"/>
                <w:b/>
                <w:color w:val="000000"/>
                <w:szCs w:val="22"/>
                <w:lang w:eastAsia="ja-JP"/>
              </w:rPr>
              <w:t>Definitions</w:t>
            </w:r>
          </w:p>
          <w:p w14:paraId="17EA5885" w14:textId="77777777" w:rsidR="00437B07" w:rsidRPr="00527018" w:rsidRDefault="00437B07" w:rsidP="00437B07">
            <w:pPr>
              <w:rPr>
                <w:szCs w:val="22"/>
                <w:lang w:eastAsia="en-GB"/>
              </w:rPr>
            </w:pPr>
          </w:p>
          <w:p w14:paraId="1452B272" w14:textId="77777777" w:rsidR="00437B07" w:rsidRPr="00527018" w:rsidRDefault="00437B07" w:rsidP="00437B07">
            <w:pPr>
              <w:contextualSpacing/>
              <w:rPr>
                <w:rFonts w:ascii="Calibri" w:eastAsia="Calibri" w:hAnsi="Calibri"/>
                <w:szCs w:val="22"/>
                <w:u w:val="single"/>
                <w:lang w:eastAsia="en-GB"/>
              </w:rPr>
            </w:pPr>
            <w:r w:rsidRPr="00527018">
              <w:rPr>
                <w:rFonts w:ascii="Calibri" w:eastAsia="Calibri" w:hAnsi="Calibri"/>
                <w:szCs w:val="22"/>
                <w:u w:val="single"/>
                <w:lang w:eastAsia="en-GB"/>
              </w:rPr>
              <w:t>Course Closure</w:t>
            </w:r>
          </w:p>
          <w:p w14:paraId="342D424A" w14:textId="77777777" w:rsidR="00437B07" w:rsidRPr="00527018" w:rsidRDefault="00437B07" w:rsidP="00437B07">
            <w:pPr>
              <w:numPr>
                <w:ilvl w:val="0"/>
                <w:numId w:val="4"/>
              </w:numPr>
              <w:ind w:hanging="720"/>
              <w:contextualSpacing/>
              <w:rPr>
                <w:rFonts w:ascii="Calibri" w:hAnsi="Calibri" w:cs="Arial"/>
                <w:szCs w:val="22"/>
                <w:lang w:eastAsia="en-GB"/>
              </w:rPr>
            </w:pPr>
            <w:r w:rsidRPr="00527018">
              <w:rPr>
                <w:rFonts w:ascii="Calibri" w:hAnsi="Calibri" w:cs="Arial"/>
                <w:szCs w:val="22"/>
                <w:lang w:eastAsia="en-GB"/>
              </w:rPr>
              <w:t>Closing a course means that there will be no further intakes to the course and it will no longer be offered by the University (or partner organisation). Those students already registered on the course will continue to progress and complete the course (teach out), or where this is not possible will be offered an alternative course or transfer to another provider.</w:t>
            </w:r>
          </w:p>
          <w:p w14:paraId="4754E746" w14:textId="77777777" w:rsidR="00437B07" w:rsidRPr="00527018" w:rsidRDefault="00437B07" w:rsidP="00437B07">
            <w:pPr>
              <w:ind w:left="720"/>
              <w:contextualSpacing/>
              <w:rPr>
                <w:rFonts w:ascii="Calibri" w:eastAsia="Calibri" w:hAnsi="Calibri"/>
                <w:szCs w:val="22"/>
                <w:lang w:eastAsia="en-GB"/>
              </w:rPr>
            </w:pPr>
          </w:p>
          <w:p w14:paraId="1F3952D5" w14:textId="77777777" w:rsidR="00437B07" w:rsidRPr="00527018" w:rsidRDefault="00437B07" w:rsidP="00437B07">
            <w:pPr>
              <w:contextualSpacing/>
              <w:rPr>
                <w:rFonts w:ascii="Calibri" w:eastAsia="Calibri" w:hAnsi="Calibri"/>
                <w:szCs w:val="22"/>
                <w:u w:val="single"/>
                <w:lang w:eastAsia="en-GB"/>
              </w:rPr>
            </w:pPr>
            <w:r w:rsidRPr="00527018">
              <w:rPr>
                <w:rFonts w:ascii="Calibri" w:eastAsia="Calibri" w:hAnsi="Calibri"/>
                <w:szCs w:val="22"/>
                <w:u w:val="single"/>
                <w:lang w:eastAsia="en-GB"/>
              </w:rPr>
              <w:t>Course Suspension</w:t>
            </w:r>
          </w:p>
          <w:p w14:paraId="1CFAEFE3" w14:textId="77777777" w:rsidR="00437B07" w:rsidRPr="00527018" w:rsidRDefault="00437B07" w:rsidP="00437B07">
            <w:pPr>
              <w:numPr>
                <w:ilvl w:val="0"/>
                <w:numId w:val="4"/>
              </w:numPr>
              <w:ind w:hanging="720"/>
              <w:contextualSpacing/>
              <w:rPr>
                <w:rFonts w:ascii="Calibri" w:hAnsi="Calibri" w:cs="Arial"/>
                <w:szCs w:val="22"/>
                <w:lang w:eastAsia="en-GB"/>
              </w:rPr>
            </w:pPr>
            <w:r w:rsidRPr="00527018">
              <w:rPr>
                <w:rFonts w:ascii="Calibri" w:hAnsi="Calibri" w:cs="Arial"/>
                <w:szCs w:val="22"/>
                <w:lang w:eastAsia="en-GB"/>
              </w:rPr>
              <w:t xml:space="preserve">Suspension of a course means that there will be no intake to the course for a specified period (normally the following academic year). Students currently registered on the course will continue to progress and complete the course.  </w:t>
            </w:r>
          </w:p>
          <w:p w14:paraId="61D1ABE8" w14:textId="77777777" w:rsidR="00437B07" w:rsidRPr="00527018" w:rsidRDefault="00437B07" w:rsidP="00437B07">
            <w:pPr>
              <w:contextualSpacing/>
              <w:rPr>
                <w:rFonts w:ascii="Calibri" w:eastAsia="Calibri" w:hAnsi="Calibri"/>
                <w:szCs w:val="22"/>
                <w:lang w:eastAsia="en-GB"/>
              </w:rPr>
            </w:pPr>
          </w:p>
          <w:p w14:paraId="43BCD852" w14:textId="686A0E7B" w:rsidR="00437B07" w:rsidRPr="00527018" w:rsidRDefault="00CD0711" w:rsidP="00437B07">
            <w:pPr>
              <w:contextualSpacing/>
              <w:rPr>
                <w:rFonts w:ascii="Calibri" w:eastAsia="Calibri" w:hAnsi="Calibri"/>
                <w:szCs w:val="22"/>
                <w:u w:val="single"/>
                <w:lang w:eastAsia="en-GB"/>
              </w:rPr>
            </w:pPr>
            <w:r w:rsidRPr="00527018">
              <w:rPr>
                <w:rFonts w:ascii="Calibri" w:eastAsia="Calibri" w:hAnsi="Calibri"/>
                <w:szCs w:val="22"/>
                <w:u w:val="single"/>
                <w:lang w:eastAsia="en-GB"/>
              </w:rPr>
              <w:t xml:space="preserve">Significant </w:t>
            </w:r>
            <w:r w:rsidR="00437B07" w:rsidRPr="00527018">
              <w:rPr>
                <w:rFonts w:ascii="Calibri" w:eastAsia="Calibri" w:hAnsi="Calibri"/>
                <w:szCs w:val="22"/>
                <w:u w:val="single"/>
                <w:lang w:eastAsia="en-GB"/>
              </w:rPr>
              <w:t>Change</w:t>
            </w:r>
          </w:p>
          <w:p w14:paraId="6F9E1386" w14:textId="47BA6EC8" w:rsidR="00437B07" w:rsidRPr="00527018" w:rsidRDefault="00CD0711" w:rsidP="00437B07">
            <w:pPr>
              <w:numPr>
                <w:ilvl w:val="0"/>
                <w:numId w:val="4"/>
              </w:numPr>
              <w:ind w:hanging="720"/>
              <w:contextualSpacing/>
              <w:rPr>
                <w:rFonts w:ascii="Calibri" w:hAnsi="Calibri" w:cs="Arial"/>
                <w:szCs w:val="22"/>
                <w:lang w:eastAsia="en-GB"/>
              </w:rPr>
            </w:pPr>
            <w:r w:rsidRPr="00527018">
              <w:rPr>
                <w:rFonts w:ascii="Calibri" w:hAnsi="Calibri" w:cs="Arial"/>
                <w:szCs w:val="22"/>
                <w:lang w:eastAsia="en-GB"/>
              </w:rPr>
              <w:t xml:space="preserve">Significant </w:t>
            </w:r>
            <w:r w:rsidR="00437B07" w:rsidRPr="00527018">
              <w:rPr>
                <w:rFonts w:ascii="Calibri" w:hAnsi="Calibri" w:cs="Arial"/>
                <w:szCs w:val="22"/>
                <w:lang w:eastAsia="en-GB"/>
              </w:rPr>
              <w:t xml:space="preserve">changes constitute alterations to a course that could potentially affect the decision of an applicant to take up their place and/or significantly vary the information provided to applicants or to students regarding the nature of the course and its component parts.    </w:t>
            </w:r>
          </w:p>
          <w:p w14:paraId="1E5FDED0" w14:textId="77777777" w:rsidR="00437B07" w:rsidRPr="00527018" w:rsidRDefault="00437B07" w:rsidP="00437B07">
            <w:pPr>
              <w:ind w:left="720"/>
              <w:contextualSpacing/>
              <w:rPr>
                <w:rFonts w:ascii="Calibri" w:hAnsi="Calibri" w:cs="Arial"/>
                <w:szCs w:val="22"/>
                <w:lang w:eastAsia="en-GB"/>
              </w:rPr>
            </w:pPr>
          </w:p>
          <w:p w14:paraId="5EF39106" w14:textId="5C9B745B" w:rsidR="00437B07" w:rsidRPr="00527018" w:rsidRDefault="00437B07" w:rsidP="00437B07">
            <w:pPr>
              <w:numPr>
                <w:ilvl w:val="0"/>
                <w:numId w:val="4"/>
              </w:numPr>
              <w:ind w:hanging="720"/>
              <w:contextualSpacing/>
              <w:rPr>
                <w:rFonts w:ascii="Calibri" w:eastAsia="Calibri" w:hAnsi="Calibri"/>
                <w:szCs w:val="22"/>
                <w:lang w:eastAsia="en-GB"/>
              </w:rPr>
            </w:pPr>
            <w:r w:rsidRPr="00527018">
              <w:rPr>
                <w:rFonts w:ascii="Calibri" w:hAnsi="Calibri" w:cs="Arial"/>
                <w:szCs w:val="22"/>
                <w:lang w:eastAsia="en-GB"/>
              </w:rPr>
              <w:t xml:space="preserve">A </w:t>
            </w:r>
            <w:r w:rsidR="008A5BB4" w:rsidRPr="00527018">
              <w:rPr>
                <w:rFonts w:ascii="Calibri" w:hAnsi="Calibri" w:cs="Arial"/>
                <w:szCs w:val="22"/>
                <w:lang w:eastAsia="en-GB"/>
              </w:rPr>
              <w:t xml:space="preserve">significant </w:t>
            </w:r>
            <w:r w:rsidRPr="00527018">
              <w:rPr>
                <w:rFonts w:ascii="Calibri" w:hAnsi="Calibri" w:cs="Arial"/>
                <w:szCs w:val="22"/>
                <w:lang w:eastAsia="en-GB"/>
              </w:rPr>
              <w:t>change might include:</w:t>
            </w:r>
            <w:r w:rsidR="00F273D0" w:rsidRPr="00527018">
              <w:rPr>
                <w:rFonts w:ascii="Calibri" w:hAnsi="Calibri" w:cs="Arial"/>
                <w:szCs w:val="22"/>
                <w:lang w:eastAsia="en-GB"/>
              </w:rPr>
              <w:br/>
            </w:r>
          </w:p>
          <w:p w14:paraId="6F63BCF5" w14:textId="77777777" w:rsidR="001303EE" w:rsidRPr="00527018" w:rsidRDefault="001303EE" w:rsidP="00DD77A2">
            <w:pPr>
              <w:numPr>
                <w:ilvl w:val="0"/>
                <w:numId w:val="3"/>
              </w:numPr>
              <w:ind w:left="1134" w:hanging="425"/>
              <w:contextualSpacing/>
              <w:rPr>
                <w:rFonts w:ascii="Calibri" w:eastAsia="Calibri" w:hAnsi="Calibri"/>
                <w:color w:val="000000"/>
                <w:szCs w:val="22"/>
                <w:lang w:eastAsia="en-GB"/>
              </w:rPr>
            </w:pPr>
            <w:r w:rsidRPr="00527018">
              <w:rPr>
                <w:rFonts w:ascii="Calibri" w:eastAsia="Calibri" w:hAnsi="Calibri"/>
                <w:color w:val="000000"/>
                <w:szCs w:val="22"/>
                <w:lang w:eastAsia="en-GB"/>
              </w:rPr>
              <w:t>a change to the award title</w:t>
            </w:r>
          </w:p>
          <w:p w14:paraId="50BA0239" w14:textId="77777777" w:rsidR="001303EE" w:rsidRPr="00527018" w:rsidRDefault="001303EE" w:rsidP="00DD77A2">
            <w:pPr>
              <w:numPr>
                <w:ilvl w:val="0"/>
                <w:numId w:val="3"/>
              </w:numPr>
              <w:ind w:left="1134" w:hanging="425"/>
              <w:contextualSpacing/>
              <w:rPr>
                <w:rFonts w:ascii="Calibri" w:eastAsia="Calibri" w:hAnsi="Calibri"/>
                <w:color w:val="000000"/>
                <w:szCs w:val="22"/>
                <w:lang w:eastAsia="en-GB"/>
              </w:rPr>
            </w:pPr>
            <w:r w:rsidRPr="00527018">
              <w:rPr>
                <w:rFonts w:ascii="Calibri" w:eastAsia="Calibri" w:hAnsi="Calibri"/>
                <w:color w:val="000000"/>
                <w:szCs w:val="22"/>
                <w:lang w:eastAsia="en-GB"/>
              </w:rPr>
              <w:t>a</w:t>
            </w:r>
            <w:r w:rsidR="00DD77A2" w:rsidRPr="00527018">
              <w:rPr>
                <w:rFonts w:ascii="Calibri" w:eastAsia="Calibri" w:hAnsi="Calibri"/>
                <w:color w:val="000000"/>
                <w:szCs w:val="22"/>
                <w:lang w:eastAsia="en-GB"/>
              </w:rPr>
              <w:t xml:space="preserve"> change to the</w:t>
            </w:r>
            <w:r w:rsidRPr="00527018">
              <w:rPr>
                <w:rFonts w:ascii="Calibri" w:eastAsia="Calibri" w:hAnsi="Calibri"/>
                <w:color w:val="000000"/>
                <w:szCs w:val="22"/>
                <w:lang w:eastAsia="en-GB"/>
              </w:rPr>
              <w:t xml:space="preserve"> accreditation arrangements</w:t>
            </w:r>
          </w:p>
          <w:p w14:paraId="2266AE2A" w14:textId="15249535" w:rsidR="001303EE" w:rsidRPr="00527018" w:rsidRDefault="001303EE" w:rsidP="00DD77A2">
            <w:pPr>
              <w:numPr>
                <w:ilvl w:val="0"/>
                <w:numId w:val="3"/>
              </w:numPr>
              <w:ind w:left="1134" w:hanging="425"/>
              <w:contextualSpacing/>
              <w:rPr>
                <w:rFonts w:ascii="Calibri" w:eastAsia="Calibri" w:hAnsi="Calibri"/>
                <w:color w:val="000000"/>
                <w:szCs w:val="22"/>
                <w:lang w:eastAsia="en-GB"/>
              </w:rPr>
            </w:pPr>
            <w:r w:rsidRPr="00527018">
              <w:rPr>
                <w:rFonts w:ascii="Calibri" w:eastAsia="Calibri" w:hAnsi="Calibri"/>
                <w:color w:val="000000"/>
                <w:szCs w:val="22"/>
                <w:lang w:eastAsia="en-GB"/>
              </w:rPr>
              <w:t>s</w:t>
            </w:r>
            <w:r w:rsidR="00DD77A2" w:rsidRPr="00527018">
              <w:rPr>
                <w:rFonts w:ascii="Calibri" w:eastAsia="Calibri" w:hAnsi="Calibri"/>
                <w:color w:val="000000"/>
                <w:szCs w:val="22"/>
                <w:lang w:eastAsia="en-GB"/>
              </w:rPr>
              <w:t>ignifican</w:t>
            </w:r>
            <w:r w:rsidRPr="00527018">
              <w:rPr>
                <w:rFonts w:ascii="Calibri" w:eastAsia="Calibri" w:hAnsi="Calibri"/>
                <w:color w:val="000000"/>
                <w:szCs w:val="22"/>
                <w:lang w:eastAsia="en-GB"/>
              </w:rPr>
              <w:t>t changes to the content of the</w:t>
            </w:r>
            <w:r w:rsidR="00DD77A2" w:rsidRPr="00527018">
              <w:rPr>
                <w:rFonts w:ascii="Calibri" w:eastAsia="Calibri" w:hAnsi="Calibri"/>
                <w:color w:val="000000"/>
                <w:szCs w:val="22"/>
                <w:lang w:eastAsia="en-GB"/>
              </w:rPr>
              <w:t xml:space="preserve"> programme such as adding or re</w:t>
            </w:r>
            <w:r w:rsidRPr="00527018">
              <w:rPr>
                <w:rFonts w:ascii="Calibri" w:eastAsia="Calibri" w:hAnsi="Calibri"/>
                <w:color w:val="000000"/>
                <w:szCs w:val="22"/>
                <w:lang w:eastAsia="en-GB"/>
              </w:rPr>
              <w:t>moving a mandatory module</w:t>
            </w:r>
          </w:p>
          <w:p w14:paraId="362DFFAA" w14:textId="5099145D" w:rsidR="001303EE" w:rsidRPr="00527018" w:rsidRDefault="001303EE" w:rsidP="00DD77A2">
            <w:pPr>
              <w:numPr>
                <w:ilvl w:val="0"/>
                <w:numId w:val="3"/>
              </w:numPr>
              <w:ind w:left="1134" w:hanging="425"/>
              <w:contextualSpacing/>
              <w:rPr>
                <w:rFonts w:ascii="Calibri" w:eastAsia="Calibri" w:hAnsi="Calibri"/>
                <w:color w:val="000000"/>
                <w:szCs w:val="22"/>
                <w:lang w:eastAsia="en-GB"/>
              </w:rPr>
            </w:pPr>
            <w:r w:rsidRPr="00527018">
              <w:rPr>
                <w:rFonts w:ascii="Calibri" w:eastAsia="Calibri" w:hAnsi="Calibri"/>
                <w:color w:val="000000"/>
                <w:szCs w:val="22"/>
                <w:lang w:eastAsia="en-GB"/>
              </w:rPr>
              <w:t>c</w:t>
            </w:r>
            <w:r w:rsidR="00DD77A2" w:rsidRPr="00527018">
              <w:rPr>
                <w:rFonts w:ascii="Calibri" w:eastAsia="Calibri" w:hAnsi="Calibri"/>
                <w:color w:val="000000"/>
                <w:szCs w:val="22"/>
                <w:lang w:eastAsia="en-GB"/>
              </w:rPr>
              <w:t>hanges to the method of delivery</w:t>
            </w:r>
            <w:r w:rsidRPr="00527018">
              <w:rPr>
                <w:rFonts w:ascii="Calibri" w:eastAsia="Calibri" w:hAnsi="Calibri"/>
                <w:color w:val="000000"/>
                <w:szCs w:val="22"/>
                <w:lang w:eastAsia="en-GB"/>
              </w:rPr>
              <w:t xml:space="preserve"> or method of assessment of the</w:t>
            </w:r>
            <w:r w:rsidR="00DD77A2" w:rsidRPr="00527018">
              <w:rPr>
                <w:rFonts w:ascii="Calibri" w:eastAsia="Calibri" w:hAnsi="Calibri"/>
                <w:color w:val="000000"/>
                <w:szCs w:val="22"/>
                <w:lang w:eastAsia="en-GB"/>
              </w:rPr>
              <w:t xml:space="preserve"> programme such that the o</w:t>
            </w:r>
            <w:r w:rsidRPr="00527018">
              <w:rPr>
                <w:rFonts w:ascii="Calibri" w:eastAsia="Calibri" w:hAnsi="Calibri"/>
                <w:color w:val="000000"/>
                <w:szCs w:val="22"/>
                <w:lang w:eastAsia="en-GB"/>
              </w:rPr>
              <w:t>verall learning outcomes of the</w:t>
            </w:r>
            <w:r w:rsidR="00DD77A2" w:rsidRPr="00527018">
              <w:rPr>
                <w:rFonts w:ascii="Calibri" w:eastAsia="Calibri" w:hAnsi="Calibri"/>
                <w:color w:val="000000"/>
                <w:szCs w:val="22"/>
                <w:lang w:eastAsia="en-GB"/>
              </w:rPr>
              <w:t xml:space="preserve"> programme a</w:t>
            </w:r>
            <w:r w:rsidRPr="00527018">
              <w:rPr>
                <w:rFonts w:ascii="Calibri" w:eastAsia="Calibri" w:hAnsi="Calibri"/>
                <w:color w:val="000000"/>
                <w:szCs w:val="22"/>
                <w:lang w:eastAsia="en-GB"/>
              </w:rPr>
              <w:t>re fundamentally different</w:t>
            </w:r>
          </w:p>
          <w:p w14:paraId="5209BC01" w14:textId="52CBC038" w:rsidR="00DD77A2" w:rsidRPr="00527018" w:rsidRDefault="001303EE" w:rsidP="00DD77A2">
            <w:pPr>
              <w:numPr>
                <w:ilvl w:val="0"/>
                <w:numId w:val="3"/>
              </w:numPr>
              <w:ind w:left="1134" w:hanging="425"/>
              <w:contextualSpacing/>
              <w:rPr>
                <w:rFonts w:ascii="Calibri" w:eastAsia="Calibri" w:hAnsi="Calibri"/>
                <w:color w:val="000000"/>
                <w:szCs w:val="22"/>
                <w:lang w:eastAsia="en-GB"/>
              </w:rPr>
            </w:pPr>
            <w:r w:rsidRPr="00527018">
              <w:rPr>
                <w:rFonts w:ascii="Calibri" w:eastAsia="Calibri" w:hAnsi="Calibri"/>
                <w:color w:val="000000"/>
                <w:szCs w:val="22"/>
                <w:lang w:eastAsia="en-GB"/>
              </w:rPr>
              <w:t>s</w:t>
            </w:r>
            <w:r w:rsidR="00DD77A2" w:rsidRPr="00527018">
              <w:rPr>
                <w:rFonts w:ascii="Calibri" w:eastAsia="Calibri" w:hAnsi="Calibri"/>
                <w:color w:val="000000"/>
                <w:szCs w:val="22"/>
                <w:lang w:eastAsia="en-GB"/>
              </w:rPr>
              <w:t>ignifi</w:t>
            </w:r>
            <w:r w:rsidRPr="00527018">
              <w:rPr>
                <w:rFonts w:ascii="Calibri" w:eastAsia="Calibri" w:hAnsi="Calibri"/>
                <w:color w:val="000000"/>
                <w:szCs w:val="22"/>
                <w:lang w:eastAsia="en-GB"/>
              </w:rPr>
              <w:t>cant changes to the location which the</w:t>
            </w:r>
            <w:r w:rsidR="00DD77A2" w:rsidRPr="00527018">
              <w:rPr>
                <w:rFonts w:ascii="Calibri" w:eastAsia="Calibri" w:hAnsi="Calibri"/>
                <w:color w:val="000000"/>
                <w:szCs w:val="22"/>
                <w:lang w:eastAsia="en-GB"/>
              </w:rPr>
              <w:t xml:space="preserve"> programme is taugh</w:t>
            </w:r>
            <w:r w:rsidRPr="00527018">
              <w:rPr>
                <w:rFonts w:ascii="Calibri" w:eastAsia="Calibri" w:hAnsi="Calibri"/>
                <w:color w:val="000000"/>
                <w:szCs w:val="22"/>
                <w:lang w:eastAsia="en-GB"/>
              </w:rPr>
              <w:t>t</w:t>
            </w:r>
            <w:r w:rsidR="00F273D0" w:rsidRPr="00527018">
              <w:rPr>
                <w:rFonts w:ascii="Calibri" w:eastAsia="Calibri" w:hAnsi="Calibri"/>
                <w:color w:val="000000"/>
                <w:szCs w:val="22"/>
                <w:lang w:eastAsia="en-GB"/>
              </w:rPr>
              <w:t>.</w:t>
            </w:r>
          </w:p>
          <w:p w14:paraId="50DD3EEF" w14:textId="77777777" w:rsidR="00437B07" w:rsidRPr="00527018" w:rsidRDefault="00437B07" w:rsidP="00437B07">
            <w:pPr>
              <w:contextualSpacing/>
              <w:jc w:val="both"/>
              <w:rPr>
                <w:rFonts w:ascii="Calibri" w:eastAsia="Calibri" w:hAnsi="Calibri"/>
                <w:color w:val="000000"/>
                <w:szCs w:val="22"/>
                <w:lang w:eastAsia="en-GB"/>
              </w:rPr>
            </w:pPr>
          </w:p>
          <w:p w14:paraId="52C440EC" w14:textId="77777777" w:rsidR="00437B07" w:rsidRPr="00527018" w:rsidRDefault="00437B07" w:rsidP="00437B07">
            <w:pPr>
              <w:ind w:left="709" w:hanging="709"/>
              <w:jc w:val="both"/>
              <w:rPr>
                <w:rFonts w:ascii="Calibri" w:eastAsia="Calibri" w:hAnsi="Calibri"/>
                <w:b/>
                <w:szCs w:val="22"/>
                <w:lang w:eastAsia="en-GB"/>
              </w:rPr>
            </w:pPr>
            <w:r w:rsidRPr="00527018">
              <w:rPr>
                <w:rFonts w:ascii="Calibri" w:eastAsia="Calibri" w:hAnsi="Calibri"/>
                <w:b/>
                <w:szCs w:val="22"/>
                <w:lang w:eastAsia="en-GB"/>
              </w:rPr>
              <w:t>Key Principles</w:t>
            </w:r>
          </w:p>
          <w:p w14:paraId="4DFB7F5E" w14:textId="77777777" w:rsidR="00437B07" w:rsidRPr="00527018" w:rsidRDefault="00437B07" w:rsidP="00437B07">
            <w:pPr>
              <w:ind w:left="709" w:hanging="709"/>
              <w:jc w:val="both"/>
              <w:rPr>
                <w:rFonts w:ascii="Calibri" w:eastAsia="Calibri" w:hAnsi="Calibri"/>
                <w:b/>
                <w:szCs w:val="22"/>
                <w:lang w:eastAsia="en-GB"/>
              </w:rPr>
            </w:pPr>
          </w:p>
          <w:p w14:paraId="19D4FAEC" w14:textId="270CC3A4" w:rsidR="00437B07" w:rsidRPr="008C26EC" w:rsidRDefault="00437B07" w:rsidP="00437B07">
            <w:pPr>
              <w:numPr>
                <w:ilvl w:val="0"/>
                <w:numId w:val="4"/>
              </w:numPr>
              <w:ind w:hanging="720"/>
              <w:contextualSpacing/>
              <w:rPr>
                <w:rFonts w:ascii="Calibri" w:hAnsi="Calibri" w:cs="Arial"/>
                <w:szCs w:val="22"/>
                <w:lang w:eastAsia="en-GB"/>
              </w:rPr>
            </w:pPr>
            <w:r w:rsidRPr="008C26EC">
              <w:rPr>
                <w:rFonts w:ascii="Calibri" w:hAnsi="Calibri" w:cs="Arial"/>
                <w:szCs w:val="22"/>
                <w:lang w:eastAsia="en-GB"/>
              </w:rPr>
              <w:t xml:space="preserve">For details of how these principles translate into normal operational practice, readers should refer to the University </w:t>
            </w:r>
            <w:hyperlink r:id="rId16" w:history="1">
              <w:r w:rsidR="001B690C" w:rsidRPr="008C26EC">
                <w:rPr>
                  <w:rStyle w:val="Hyperlink"/>
                  <w:rFonts w:ascii="Calibri" w:hAnsi="Calibri" w:cs="Arial"/>
                  <w:szCs w:val="22"/>
                  <w:lang w:eastAsia="en-GB"/>
                </w:rPr>
                <w:t>Procedures for Course Closure, Suspension and Significant Change</w:t>
              </w:r>
            </w:hyperlink>
            <w:r w:rsidR="008C26EC" w:rsidRPr="008C26EC">
              <w:rPr>
                <w:rFonts w:ascii="Calibri" w:hAnsi="Calibri" w:cs="Arial"/>
                <w:szCs w:val="22"/>
                <w:lang w:eastAsia="en-GB"/>
              </w:rPr>
              <w:t>.</w:t>
            </w:r>
            <w:r w:rsidR="001B690C" w:rsidRPr="008C26EC">
              <w:rPr>
                <w:rFonts w:ascii="Calibri" w:hAnsi="Calibri" w:cs="Arial"/>
                <w:szCs w:val="22"/>
                <w:lang w:eastAsia="en-GB"/>
              </w:rPr>
              <w:t xml:space="preserve"> </w:t>
            </w:r>
          </w:p>
          <w:p w14:paraId="41B7B225" w14:textId="77777777" w:rsidR="001B690C" w:rsidRPr="00527018" w:rsidRDefault="001B690C" w:rsidP="00437B07">
            <w:pPr>
              <w:ind w:left="720"/>
              <w:contextualSpacing/>
              <w:rPr>
                <w:rFonts w:ascii="Calibri" w:hAnsi="Calibri" w:cs="Arial"/>
                <w:szCs w:val="22"/>
                <w:lang w:eastAsia="en-GB"/>
              </w:rPr>
            </w:pPr>
          </w:p>
          <w:p w14:paraId="1AAAFE90" w14:textId="472851E4" w:rsidR="00437B07" w:rsidRPr="00527018" w:rsidRDefault="00437B07" w:rsidP="00437B07">
            <w:pPr>
              <w:numPr>
                <w:ilvl w:val="0"/>
                <w:numId w:val="4"/>
              </w:numPr>
              <w:ind w:hanging="720"/>
              <w:contextualSpacing/>
              <w:rPr>
                <w:rFonts w:ascii="Calibri" w:hAnsi="Calibri" w:cs="Arial"/>
                <w:szCs w:val="22"/>
                <w:lang w:eastAsia="en-GB"/>
              </w:rPr>
            </w:pPr>
            <w:r w:rsidRPr="00527018">
              <w:rPr>
                <w:rFonts w:ascii="Calibri" w:hAnsi="Calibri" w:cs="Arial"/>
                <w:szCs w:val="22"/>
                <w:lang w:eastAsia="en-GB"/>
              </w:rPr>
              <w:t>An academic</w:t>
            </w:r>
            <w:r w:rsidR="0007719D" w:rsidRPr="00527018">
              <w:rPr>
                <w:rFonts w:ascii="Calibri" w:hAnsi="Calibri" w:cs="Arial"/>
                <w:szCs w:val="22"/>
                <w:lang w:eastAsia="en-GB"/>
              </w:rPr>
              <w:t xml:space="preserve"> School</w:t>
            </w:r>
            <w:r w:rsidRPr="00527018">
              <w:rPr>
                <w:rFonts w:ascii="Calibri" w:hAnsi="Calibri" w:cs="Arial"/>
                <w:szCs w:val="22"/>
                <w:lang w:eastAsia="en-GB"/>
              </w:rPr>
              <w:t xml:space="preserve"> (or collaborative partner organisation) </w:t>
            </w:r>
            <w:r w:rsidR="009224E7" w:rsidRPr="00527018">
              <w:rPr>
                <w:rFonts w:ascii="Calibri" w:hAnsi="Calibri" w:cs="Arial"/>
                <w:szCs w:val="22"/>
                <w:lang w:eastAsia="en-GB"/>
              </w:rPr>
              <w:t>cannot</w:t>
            </w:r>
            <w:r w:rsidRPr="00527018">
              <w:rPr>
                <w:rFonts w:ascii="Calibri" w:hAnsi="Calibri" w:cs="Arial"/>
                <w:szCs w:val="22"/>
                <w:lang w:eastAsia="en-GB"/>
              </w:rPr>
              <w:t xml:space="preserve"> close, suspend or make </w:t>
            </w:r>
            <w:r w:rsidR="0007719D" w:rsidRPr="00527018">
              <w:rPr>
                <w:rFonts w:ascii="Calibri" w:hAnsi="Calibri" w:cs="Arial"/>
                <w:szCs w:val="22"/>
                <w:lang w:eastAsia="en-GB"/>
              </w:rPr>
              <w:t xml:space="preserve">significant </w:t>
            </w:r>
            <w:r w:rsidRPr="00527018">
              <w:rPr>
                <w:rFonts w:ascii="Calibri" w:hAnsi="Calibri" w:cs="Arial"/>
                <w:szCs w:val="22"/>
                <w:lang w:eastAsia="en-GB"/>
              </w:rPr>
              <w:t xml:space="preserve">changes to a course themselves.  Any such decision will only be made by </w:t>
            </w:r>
            <w:r w:rsidR="00F273D0" w:rsidRPr="00527018">
              <w:rPr>
                <w:rFonts w:ascii="Calibri" w:hAnsi="Calibri" w:cs="Arial"/>
                <w:szCs w:val="22"/>
                <w:lang w:eastAsia="en-GB"/>
              </w:rPr>
              <w:t>the Academic Planning and Portfolio Group (</w:t>
            </w:r>
            <w:r w:rsidR="008A5BB4" w:rsidRPr="00527018">
              <w:rPr>
                <w:rFonts w:ascii="Calibri" w:hAnsi="Calibri" w:cs="Arial"/>
                <w:szCs w:val="22"/>
                <w:lang w:eastAsia="en-GB"/>
              </w:rPr>
              <w:t>APPG</w:t>
            </w:r>
            <w:r w:rsidR="00F273D0" w:rsidRPr="00527018">
              <w:rPr>
                <w:rFonts w:ascii="Calibri" w:hAnsi="Calibri" w:cs="Arial"/>
                <w:szCs w:val="22"/>
                <w:lang w:eastAsia="en-GB"/>
              </w:rPr>
              <w:t>)</w:t>
            </w:r>
            <w:r w:rsidR="008A5BB4" w:rsidRPr="00527018">
              <w:rPr>
                <w:rFonts w:ascii="Calibri" w:hAnsi="Calibri" w:cs="Arial"/>
                <w:szCs w:val="22"/>
                <w:lang w:eastAsia="en-GB"/>
              </w:rPr>
              <w:t xml:space="preserve"> </w:t>
            </w:r>
            <w:r w:rsidRPr="00527018">
              <w:rPr>
                <w:rFonts w:ascii="Calibri" w:hAnsi="Calibri" w:cs="Arial"/>
                <w:szCs w:val="22"/>
                <w:lang w:eastAsia="en-GB"/>
              </w:rPr>
              <w:t xml:space="preserve">who will normally be given sufficient notice to ensure that there have been appropriate consultations and communications with all stakeholders. </w:t>
            </w:r>
          </w:p>
          <w:p w14:paraId="2CF49116" w14:textId="77777777" w:rsidR="00437B07" w:rsidRPr="00527018" w:rsidRDefault="00437B07" w:rsidP="00437B07">
            <w:pPr>
              <w:ind w:left="720"/>
              <w:contextualSpacing/>
              <w:rPr>
                <w:rFonts w:ascii="Calibri" w:hAnsi="Calibri" w:cs="Arial"/>
                <w:szCs w:val="22"/>
                <w:lang w:eastAsia="en-GB"/>
              </w:rPr>
            </w:pPr>
          </w:p>
          <w:p w14:paraId="3D6ECA5D" w14:textId="77777777" w:rsidR="00437B07" w:rsidRPr="00527018" w:rsidRDefault="00437B07" w:rsidP="00437B07">
            <w:pPr>
              <w:numPr>
                <w:ilvl w:val="0"/>
                <w:numId w:val="4"/>
              </w:numPr>
              <w:ind w:hanging="720"/>
              <w:contextualSpacing/>
              <w:rPr>
                <w:rFonts w:ascii="Calibri" w:eastAsia="Calibri" w:hAnsi="Calibri"/>
                <w:szCs w:val="22"/>
                <w:lang w:eastAsia="en-GB"/>
              </w:rPr>
            </w:pPr>
            <w:r w:rsidRPr="00527018">
              <w:rPr>
                <w:rFonts w:ascii="Calibri" w:hAnsi="Calibri" w:cs="Arial"/>
                <w:szCs w:val="22"/>
                <w:lang w:eastAsia="en-GB"/>
              </w:rPr>
              <w:t>The only exceptions to this are:</w:t>
            </w:r>
            <w:r w:rsidRPr="00527018">
              <w:rPr>
                <w:rFonts w:ascii="Calibri" w:eastAsia="Calibri" w:hAnsi="Calibri"/>
                <w:szCs w:val="22"/>
                <w:lang w:eastAsia="en-GB"/>
              </w:rPr>
              <w:t xml:space="preserve"> </w:t>
            </w:r>
            <w:r w:rsidRPr="00527018">
              <w:rPr>
                <w:rFonts w:ascii="Calibri" w:eastAsia="Calibri" w:hAnsi="Calibri"/>
                <w:szCs w:val="22"/>
                <w:lang w:eastAsia="en-GB"/>
              </w:rPr>
              <w:br/>
            </w:r>
          </w:p>
          <w:p w14:paraId="5E5635AA" w14:textId="7668BDBF" w:rsidR="00437B07" w:rsidRPr="00527018" w:rsidRDefault="00123F5C" w:rsidP="00A9163C">
            <w:pPr>
              <w:numPr>
                <w:ilvl w:val="0"/>
                <w:numId w:val="5"/>
              </w:numPr>
              <w:contextualSpacing/>
              <w:rPr>
                <w:rFonts w:ascii="Calibri" w:eastAsia="Calibri" w:hAnsi="Calibri"/>
                <w:szCs w:val="22"/>
                <w:lang w:eastAsia="en-GB"/>
              </w:rPr>
            </w:pPr>
            <w:r>
              <w:rPr>
                <w:rFonts w:ascii="Calibri" w:eastAsia="Calibri" w:hAnsi="Calibri"/>
                <w:szCs w:val="22"/>
                <w:lang w:eastAsia="en-GB"/>
              </w:rPr>
              <w:t>w</w:t>
            </w:r>
            <w:r w:rsidR="00437B07" w:rsidRPr="00527018">
              <w:rPr>
                <w:rFonts w:ascii="Calibri" w:eastAsia="Calibri" w:hAnsi="Calibri"/>
                <w:szCs w:val="22"/>
                <w:lang w:eastAsia="en-GB"/>
              </w:rPr>
              <w:t>here a decision is made to suspend recruitment to a course late in the recruitment cycle (eg after 1</w:t>
            </w:r>
            <w:r w:rsidR="00437B07" w:rsidRPr="00527018">
              <w:rPr>
                <w:rFonts w:ascii="Calibri" w:eastAsia="Calibri" w:hAnsi="Calibri"/>
                <w:szCs w:val="22"/>
                <w:vertAlign w:val="superscript"/>
                <w:lang w:eastAsia="en-GB"/>
              </w:rPr>
              <w:t>st</w:t>
            </w:r>
            <w:r w:rsidR="00437B07" w:rsidRPr="00527018">
              <w:rPr>
                <w:rFonts w:ascii="Calibri" w:eastAsia="Calibri" w:hAnsi="Calibri"/>
                <w:szCs w:val="22"/>
                <w:lang w:eastAsia="en-GB"/>
              </w:rPr>
              <w:t xml:space="preserve"> July where the course commences in September).  In these instances, the Head of </w:t>
            </w:r>
            <w:r w:rsidR="0007719D" w:rsidRPr="00527018">
              <w:rPr>
                <w:rFonts w:ascii="Calibri" w:eastAsia="Calibri" w:hAnsi="Calibri"/>
                <w:szCs w:val="22"/>
                <w:lang w:eastAsia="en-GB"/>
              </w:rPr>
              <w:t>School</w:t>
            </w:r>
            <w:r w:rsidR="00F273D0" w:rsidRPr="00527018">
              <w:rPr>
                <w:rFonts w:ascii="Calibri" w:eastAsia="Calibri" w:hAnsi="Calibri"/>
                <w:szCs w:val="22"/>
                <w:lang w:eastAsia="en-GB"/>
              </w:rPr>
              <w:t xml:space="preserve"> </w:t>
            </w:r>
            <w:r w:rsidR="00437B07" w:rsidRPr="00527018">
              <w:rPr>
                <w:rFonts w:ascii="Calibri" w:eastAsia="Calibri" w:hAnsi="Calibri"/>
                <w:szCs w:val="22"/>
                <w:lang w:eastAsia="en-GB"/>
              </w:rPr>
              <w:t xml:space="preserve">(or nominee) will liaise directly with the </w:t>
            </w:r>
            <w:r w:rsidR="0007719D" w:rsidRPr="00527018">
              <w:rPr>
                <w:rFonts w:ascii="Calibri" w:eastAsia="Calibri" w:hAnsi="Calibri"/>
                <w:szCs w:val="22"/>
                <w:lang w:eastAsia="en-GB"/>
              </w:rPr>
              <w:t>Deputy Vice</w:t>
            </w:r>
            <w:r>
              <w:rPr>
                <w:rFonts w:ascii="Calibri" w:eastAsia="Calibri" w:hAnsi="Calibri"/>
                <w:szCs w:val="22"/>
                <w:lang w:eastAsia="en-GB"/>
              </w:rPr>
              <w:t xml:space="preserve"> </w:t>
            </w:r>
            <w:r w:rsidR="0007719D" w:rsidRPr="00527018">
              <w:rPr>
                <w:rFonts w:ascii="Calibri" w:eastAsia="Calibri" w:hAnsi="Calibri"/>
                <w:szCs w:val="22"/>
                <w:lang w:eastAsia="en-GB"/>
              </w:rPr>
              <w:t xml:space="preserve">Chancellor and Provost </w:t>
            </w:r>
            <w:r w:rsidR="00437B07" w:rsidRPr="00527018">
              <w:rPr>
                <w:rFonts w:ascii="Calibri" w:eastAsia="Calibri" w:hAnsi="Calibri"/>
                <w:szCs w:val="22"/>
                <w:lang w:eastAsia="en-GB"/>
              </w:rPr>
              <w:t xml:space="preserve">and Academic Registrar for approval to suspend the course.  In such cases a report will be made to the </w:t>
            </w:r>
            <w:r w:rsidR="000B2364" w:rsidRPr="00527018">
              <w:rPr>
                <w:rFonts w:ascii="Calibri" w:eastAsia="Calibri" w:hAnsi="Calibri"/>
                <w:szCs w:val="22"/>
                <w:lang w:eastAsia="en-GB"/>
              </w:rPr>
              <w:t xml:space="preserve">Recruitment Review Group </w:t>
            </w:r>
            <w:r w:rsidR="00437B07" w:rsidRPr="00527018">
              <w:rPr>
                <w:rFonts w:ascii="Calibri" w:eastAsia="Calibri" w:hAnsi="Calibri"/>
                <w:szCs w:val="22"/>
                <w:lang w:eastAsia="en-GB"/>
              </w:rPr>
              <w:t>notifying them of the exceptional circu</w:t>
            </w:r>
            <w:r w:rsidR="0076009C" w:rsidRPr="00527018">
              <w:rPr>
                <w:rFonts w:ascii="Calibri" w:eastAsia="Calibri" w:hAnsi="Calibri"/>
                <w:szCs w:val="22"/>
                <w:lang w:eastAsia="en-GB"/>
              </w:rPr>
              <w:t>mstances requiring such action, with the closure reported to the APPG</w:t>
            </w:r>
          </w:p>
          <w:p w14:paraId="2C559978" w14:textId="77777777" w:rsidR="00437B07" w:rsidRPr="00527018" w:rsidRDefault="00437B07" w:rsidP="00437B07">
            <w:pPr>
              <w:ind w:left="993" w:hanging="10"/>
              <w:contextualSpacing/>
              <w:rPr>
                <w:rFonts w:ascii="Calibri" w:eastAsia="Calibri" w:hAnsi="Calibri"/>
                <w:szCs w:val="22"/>
                <w:lang w:eastAsia="en-GB"/>
              </w:rPr>
            </w:pPr>
          </w:p>
          <w:p w14:paraId="51367C83" w14:textId="15AADA21" w:rsidR="00F273D0" w:rsidRPr="00527018" w:rsidRDefault="00123F5C" w:rsidP="00437B07">
            <w:pPr>
              <w:numPr>
                <w:ilvl w:val="0"/>
                <w:numId w:val="5"/>
              </w:numPr>
              <w:contextualSpacing/>
              <w:rPr>
                <w:rFonts w:ascii="Calibri" w:eastAsia="Calibri" w:hAnsi="Calibri"/>
                <w:szCs w:val="22"/>
                <w:lang w:eastAsia="en-GB"/>
              </w:rPr>
            </w:pPr>
            <w:r>
              <w:rPr>
                <w:rFonts w:ascii="Calibri" w:eastAsia="Calibri" w:hAnsi="Calibri"/>
                <w:szCs w:val="22"/>
                <w:lang w:eastAsia="en-GB"/>
              </w:rPr>
              <w:t>p</w:t>
            </w:r>
            <w:r w:rsidR="00437B07" w:rsidRPr="00527018">
              <w:rPr>
                <w:rFonts w:ascii="Calibri" w:eastAsia="Calibri" w:hAnsi="Calibri"/>
                <w:szCs w:val="22"/>
                <w:lang w:eastAsia="en-GB"/>
              </w:rPr>
              <w:t xml:space="preserve">roposals for </w:t>
            </w:r>
            <w:r w:rsidR="000B2364" w:rsidRPr="00527018">
              <w:rPr>
                <w:rFonts w:ascii="Calibri" w:eastAsia="Calibri" w:hAnsi="Calibri"/>
                <w:szCs w:val="22"/>
                <w:lang w:eastAsia="en-GB"/>
              </w:rPr>
              <w:t xml:space="preserve">significant </w:t>
            </w:r>
            <w:r w:rsidR="00437B07" w:rsidRPr="00527018">
              <w:rPr>
                <w:rFonts w:ascii="Calibri" w:eastAsia="Calibri" w:hAnsi="Calibri"/>
                <w:szCs w:val="22"/>
                <w:lang w:eastAsia="en-GB"/>
              </w:rPr>
              <w:t>change relating to changes in accreditation arrangements, and/or to the content of programmes, learning outcomes and or assessment.  These proposals for change are subject to the agreement of the</w:t>
            </w:r>
            <w:r w:rsidR="009B39A2" w:rsidRPr="00527018">
              <w:rPr>
                <w:rFonts w:ascii="Calibri" w:eastAsia="Calibri" w:hAnsi="Calibri"/>
                <w:szCs w:val="22"/>
                <w:lang w:eastAsia="en-GB"/>
              </w:rPr>
              <w:t xml:space="preserve"> College Director LTQE through the College Course and Module Amendments Sub-Group</w:t>
            </w:r>
            <w:r w:rsidR="00F273D0" w:rsidRPr="00527018">
              <w:rPr>
                <w:rFonts w:ascii="Calibri" w:eastAsia="Calibri" w:hAnsi="Calibri"/>
                <w:szCs w:val="22"/>
                <w:lang w:eastAsia="en-GB"/>
              </w:rPr>
              <w:t>.</w:t>
            </w:r>
          </w:p>
          <w:p w14:paraId="2EC310E6" w14:textId="2BC5756C" w:rsidR="00437B07" w:rsidRPr="00527018" w:rsidRDefault="00437B07" w:rsidP="00F273D0">
            <w:pPr>
              <w:ind w:left="720"/>
              <w:contextualSpacing/>
              <w:rPr>
                <w:rFonts w:ascii="Calibri" w:eastAsia="Calibri" w:hAnsi="Calibri"/>
                <w:szCs w:val="22"/>
                <w:lang w:eastAsia="en-GB"/>
              </w:rPr>
            </w:pPr>
            <w:r w:rsidRPr="00527018">
              <w:rPr>
                <w:rFonts w:ascii="Calibri" w:eastAsia="Calibri" w:hAnsi="Calibri"/>
                <w:szCs w:val="22"/>
                <w:lang w:eastAsia="en-GB"/>
              </w:rPr>
              <w:t xml:space="preserve"> </w:t>
            </w:r>
          </w:p>
          <w:p w14:paraId="0C6C07EC" w14:textId="567EDA9C" w:rsidR="00437B07" w:rsidRPr="00527018" w:rsidRDefault="00437B07" w:rsidP="00437B07">
            <w:pPr>
              <w:numPr>
                <w:ilvl w:val="0"/>
                <w:numId w:val="4"/>
              </w:numPr>
              <w:ind w:hanging="720"/>
              <w:contextualSpacing/>
              <w:rPr>
                <w:rFonts w:ascii="Calibri" w:hAnsi="Calibri" w:cs="Arial"/>
                <w:szCs w:val="22"/>
                <w:lang w:eastAsia="en-GB"/>
              </w:rPr>
            </w:pPr>
            <w:r w:rsidRPr="00527018">
              <w:rPr>
                <w:rFonts w:ascii="Calibri" w:hAnsi="Calibri" w:cs="Arial"/>
                <w:szCs w:val="22"/>
                <w:lang w:eastAsia="en-GB"/>
              </w:rPr>
              <w:t xml:space="preserve">Course closure, suspension or </w:t>
            </w:r>
            <w:r w:rsidR="00CC582F" w:rsidRPr="00527018">
              <w:rPr>
                <w:rFonts w:ascii="Calibri" w:hAnsi="Calibri" w:cs="Arial"/>
                <w:szCs w:val="22"/>
                <w:lang w:eastAsia="en-GB"/>
              </w:rPr>
              <w:t xml:space="preserve">significant </w:t>
            </w:r>
            <w:r w:rsidRPr="00527018">
              <w:rPr>
                <w:rFonts w:ascii="Calibri" w:hAnsi="Calibri" w:cs="Arial"/>
                <w:szCs w:val="22"/>
                <w:lang w:eastAsia="en-GB"/>
              </w:rPr>
              <w:t>change will normally be initiated for the following academic year unless there are circumstances beyond the University’s control.  In the event of closure or suspension, no new applicants will be recruited.  Students already on the course will be supported to complete their course successfully or</w:t>
            </w:r>
            <w:r w:rsidR="00123F5C">
              <w:rPr>
                <w:rFonts w:ascii="Calibri" w:hAnsi="Calibri" w:cs="Arial"/>
                <w:szCs w:val="22"/>
                <w:lang w:eastAsia="en-GB"/>
              </w:rPr>
              <w:t>,</w:t>
            </w:r>
            <w:r w:rsidRPr="00527018">
              <w:rPr>
                <w:rFonts w:ascii="Calibri" w:hAnsi="Calibri" w:cs="Arial"/>
                <w:szCs w:val="22"/>
                <w:lang w:eastAsia="en-GB"/>
              </w:rPr>
              <w:t xml:space="preserve"> if this is not possible due to circumstances beyond the control of the University, transitional arrangements will be made in consultation with the student(s) affected.</w:t>
            </w:r>
          </w:p>
          <w:p w14:paraId="27789D56" w14:textId="77777777" w:rsidR="00437B07" w:rsidRPr="00527018" w:rsidRDefault="00437B07" w:rsidP="00437B07">
            <w:pPr>
              <w:ind w:left="720"/>
              <w:contextualSpacing/>
              <w:rPr>
                <w:rFonts w:ascii="Calibri" w:hAnsi="Calibri" w:cs="Arial"/>
                <w:szCs w:val="22"/>
                <w:lang w:eastAsia="en-GB"/>
              </w:rPr>
            </w:pPr>
          </w:p>
          <w:p w14:paraId="5938B359" w14:textId="19C428F8" w:rsidR="00437B07" w:rsidRPr="00527018" w:rsidRDefault="00437B07" w:rsidP="00437B07">
            <w:pPr>
              <w:numPr>
                <w:ilvl w:val="0"/>
                <w:numId w:val="4"/>
              </w:numPr>
              <w:ind w:hanging="720"/>
              <w:contextualSpacing/>
              <w:rPr>
                <w:rFonts w:ascii="Calibri" w:hAnsi="Calibri" w:cs="Arial"/>
                <w:szCs w:val="22"/>
                <w:lang w:eastAsia="en-GB"/>
              </w:rPr>
            </w:pPr>
            <w:r w:rsidRPr="00527018">
              <w:rPr>
                <w:rFonts w:ascii="Calibri" w:hAnsi="Calibri" w:cs="Arial"/>
                <w:szCs w:val="22"/>
                <w:lang w:eastAsia="en-GB"/>
              </w:rPr>
              <w:t xml:space="preserve">The University will endeavour to mitigate the impact that course closure, suspension or </w:t>
            </w:r>
            <w:r w:rsidR="008A17EA" w:rsidRPr="00527018">
              <w:rPr>
                <w:rFonts w:ascii="Calibri" w:hAnsi="Calibri" w:cs="Arial"/>
                <w:szCs w:val="22"/>
                <w:lang w:eastAsia="en-GB"/>
              </w:rPr>
              <w:t xml:space="preserve">significant </w:t>
            </w:r>
            <w:r w:rsidRPr="00527018">
              <w:rPr>
                <w:rFonts w:ascii="Calibri" w:hAnsi="Calibri" w:cs="Arial"/>
                <w:szCs w:val="22"/>
                <w:lang w:eastAsia="en-GB"/>
              </w:rPr>
              <w:t>change will have on current and prospective students.  In the event of course closure, a planned timeline and action plan for managing the closure and for communicating with applicants and current students will be drawn up by the</w:t>
            </w:r>
            <w:r w:rsidR="008A17EA" w:rsidRPr="00527018">
              <w:rPr>
                <w:rFonts w:ascii="Calibri" w:hAnsi="Calibri" w:cs="Arial"/>
                <w:szCs w:val="22"/>
                <w:lang w:eastAsia="en-GB"/>
              </w:rPr>
              <w:t xml:space="preserve"> School</w:t>
            </w:r>
            <w:r w:rsidRPr="00527018">
              <w:rPr>
                <w:rFonts w:ascii="Calibri" w:hAnsi="Calibri" w:cs="Arial"/>
                <w:szCs w:val="22"/>
                <w:lang w:eastAsia="en-GB"/>
              </w:rPr>
              <w:t xml:space="preserve">; this will explicitly consider the experience of current and prospective students. </w:t>
            </w:r>
          </w:p>
          <w:p w14:paraId="6F4545A1" w14:textId="77777777" w:rsidR="00437B07" w:rsidRPr="00527018" w:rsidRDefault="00437B07" w:rsidP="00437B07">
            <w:pPr>
              <w:ind w:left="720"/>
              <w:contextualSpacing/>
              <w:rPr>
                <w:rFonts w:ascii="Calibri" w:hAnsi="Calibri" w:cs="Arial"/>
                <w:szCs w:val="22"/>
                <w:lang w:eastAsia="en-GB"/>
              </w:rPr>
            </w:pPr>
          </w:p>
          <w:p w14:paraId="4F8D2BB2" w14:textId="156475E8" w:rsidR="00437B07" w:rsidRPr="00527018" w:rsidRDefault="00437B07" w:rsidP="00437B07">
            <w:pPr>
              <w:numPr>
                <w:ilvl w:val="0"/>
                <w:numId w:val="4"/>
              </w:numPr>
              <w:ind w:hanging="720"/>
              <w:contextualSpacing/>
              <w:rPr>
                <w:rFonts w:ascii="Calibri" w:hAnsi="Calibri" w:cs="Arial"/>
                <w:szCs w:val="22"/>
                <w:lang w:eastAsia="en-GB"/>
              </w:rPr>
            </w:pPr>
            <w:r w:rsidRPr="00527018">
              <w:rPr>
                <w:rFonts w:ascii="Calibri" w:hAnsi="Calibri" w:cs="Arial"/>
                <w:szCs w:val="22"/>
                <w:lang w:eastAsia="en-GB"/>
              </w:rPr>
              <w:t xml:space="preserve">In the case of Joint Honours subject combinations, all </w:t>
            </w:r>
            <w:r w:rsidR="00FB0894" w:rsidRPr="00527018">
              <w:rPr>
                <w:rFonts w:ascii="Calibri" w:hAnsi="Calibri" w:cs="Arial"/>
                <w:szCs w:val="22"/>
                <w:lang w:eastAsia="en-GB"/>
              </w:rPr>
              <w:t xml:space="preserve">Schools </w:t>
            </w:r>
            <w:r w:rsidRPr="00527018">
              <w:rPr>
                <w:rFonts w:ascii="Calibri" w:hAnsi="Calibri" w:cs="Arial"/>
                <w:szCs w:val="22"/>
                <w:lang w:eastAsia="en-GB"/>
              </w:rPr>
              <w:t xml:space="preserve">involved must agree to the closure or suspension before the procedure commences. </w:t>
            </w:r>
          </w:p>
          <w:p w14:paraId="75D22F64" w14:textId="77777777" w:rsidR="00437B07" w:rsidRPr="00527018" w:rsidRDefault="00437B07" w:rsidP="00437B07">
            <w:pPr>
              <w:ind w:left="720"/>
              <w:contextualSpacing/>
              <w:rPr>
                <w:rFonts w:ascii="Calibri" w:hAnsi="Calibri" w:cs="Arial"/>
                <w:szCs w:val="22"/>
                <w:lang w:eastAsia="en-GB"/>
              </w:rPr>
            </w:pPr>
          </w:p>
          <w:p w14:paraId="1B710677" w14:textId="77777777" w:rsidR="00437B07" w:rsidRPr="00527018" w:rsidRDefault="00437B07" w:rsidP="00437B07">
            <w:pPr>
              <w:numPr>
                <w:ilvl w:val="0"/>
                <w:numId w:val="4"/>
              </w:numPr>
              <w:ind w:hanging="720"/>
              <w:contextualSpacing/>
              <w:rPr>
                <w:rFonts w:ascii="Calibri" w:hAnsi="Calibri" w:cs="Arial"/>
                <w:szCs w:val="22"/>
                <w:lang w:eastAsia="en-GB"/>
              </w:rPr>
            </w:pPr>
            <w:r w:rsidRPr="00527018">
              <w:rPr>
                <w:rFonts w:ascii="Calibri" w:hAnsi="Calibri" w:cs="Arial"/>
                <w:szCs w:val="22"/>
                <w:lang w:eastAsia="en-GB"/>
              </w:rPr>
              <w:t xml:space="preserve">In cases where collaborative partners wish to close or suspend courses, assessment of the strategic, contractual and operational implications will still be made and the University procedure will still be followed.  </w:t>
            </w:r>
          </w:p>
          <w:p w14:paraId="5A11D5E0" w14:textId="77777777" w:rsidR="00437B07" w:rsidRPr="00527018" w:rsidRDefault="00437B07" w:rsidP="00437B07">
            <w:pPr>
              <w:ind w:left="720"/>
              <w:contextualSpacing/>
              <w:rPr>
                <w:rFonts w:ascii="Calibri" w:hAnsi="Calibri" w:cs="Arial"/>
                <w:szCs w:val="22"/>
                <w:lang w:eastAsia="en-GB"/>
              </w:rPr>
            </w:pPr>
          </w:p>
          <w:p w14:paraId="7946D99F" w14:textId="2CDDD19F" w:rsidR="00437B07" w:rsidRPr="00527018" w:rsidRDefault="00437B07" w:rsidP="00437B07">
            <w:pPr>
              <w:numPr>
                <w:ilvl w:val="0"/>
                <w:numId w:val="4"/>
              </w:numPr>
              <w:ind w:hanging="720"/>
              <w:contextualSpacing/>
              <w:rPr>
                <w:rFonts w:ascii="Calibri" w:hAnsi="Calibri" w:cs="Arial"/>
                <w:szCs w:val="22"/>
                <w:lang w:eastAsia="en-GB"/>
              </w:rPr>
            </w:pPr>
            <w:r w:rsidRPr="00527018">
              <w:rPr>
                <w:rFonts w:ascii="Calibri" w:hAnsi="Calibri" w:cs="Arial"/>
                <w:szCs w:val="22"/>
                <w:lang w:eastAsia="en-GB"/>
              </w:rPr>
              <w:t>Typically, the relevant</w:t>
            </w:r>
            <w:r w:rsidR="00CD3588" w:rsidRPr="00527018">
              <w:rPr>
                <w:rFonts w:ascii="Calibri" w:hAnsi="Calibri" w:cs="Arial"/>
                <w:szCs w:val="22"/>
                <w:lang w:eastAsia="en-GB"/>
              </w:rPr>
              <w:t xml:space="preserve"> School</w:t>
            </w:r>
            <w:r w:rsidRPr="00527018">
              <w:rPr>
                <w:rFonts w:ascii="Calibri" w:hAnsi="Calibri" w:cs="Arial"/>
                <w:szCs w:val="22"/>
                <w:lang w:eastAsia="en-GB"/>
              </w:rPr>
              <w:t xml:space="preserve"> (in liaison with the partner organisation where appropriate) will be responsible for communicating course closure, suspension or </w:t>
            </w:r>
            <w:r w:rsidR="00CD3588" w:rsidRPr="00527018">
              <w:rPr>
                <w:rFonts w:ascii="Calibri" w:hAnsi="Calibri" w:cs="Arial"/>
                <w:szCs w:val="22"/>
                <w:lang w:eastAsia="en-GB"/>
              </w:rPr>
              <w:t xml:space="preserve">significant </w:t>
            </w:r>
            <w:r w:rsidRPr="00527018">
              <w:rPr>
                <w:rFonts w:ascii="Calibri" w:hAnsi="Calibri" w:cs="Arial"/>
                <w:szCs w:val="22"/>
                <w:lang w:eastAsia="en-GB"/>
              </w:rPr>
              <w:t xml:space="preserve">change to current students.  Registry Services (in liaison with the partner where relevant) will be responsible for communicating course closure, suspension or </w:t>
            </w:r>
            <w:r w:rsidR="00CD3588" w:rsidRPr="00527018">
              <w:rPr>
                <w:rFonts w:ascii="Calibri" w:hAnsi="Calibri" w:cs="Arial"/>
                <w:szCs w:val="22"/>
                <w:lang w:eastAsia="en-GB"/>
              </w:rPr>
              <w:t>significant</w:t>
            </w:r>
            <w:r w:rsidRPr="00527018">
              <w:rPr>
                <w:rFonts w:ascii="Calibri" w:hAnsi="Calibri" w:cs="Arial"/>
                <w:szCs w:val="22"/>
                <w:lang w:eastAsia="en-GB"/>
              </w:rPr>
              <w:t xml:space="preserve"> change to applicants.</w:t>
            </w:r>
          </w:p>
          <w:p w14:paraId="2E17B481" w14:textId="77777777" w:rsidR="00437B07" w:rsidRPr="00527018" w:rsidRDefault="00437B07" w:rsidP="00437B07">
            <w:pPr>
              <w:rPr>
                <w:rFonts w:ascii="Calibri" w:eastAsia="Calibri" w:hAnsi="Calibri"/>
                <w:szCs w:val="22"/>
                <w:lang w:eastAsia="en-GB"/>
              </w:rPr>
            </w:pPr>
          </w:p>
          <w:p w14:paraId="5E74898F" w14:textId="77777777" w:rsidR="00437B07" w:rsidRPr="00527018" w:rsidRDefault="00437B07" w:rsidP="00437B07">
            <w:pPr>
              <w:rPr>
                <w:rFonts w:ascii="Calibri" w:hAnsi="Calibri" w:cs="Arial"/>
                <w:b/>
                <w:szCs w:val="22"/>
                <w:lang w:eastAsia="en-GB"/>
              </w:rPr>
            </w:pPr>
            <w:r w:rsidRPr="00527018">
              <w:rPr>
                <w:rFonts w:ascii="Calibri" w:hAnsi="Calibri" w:cs="Arial"/>
                <w:b/>
                <w:szCs w:val="22"/>
                <w:lang w:eastAsia="en-GB"/>
              </w:rPr>
              <w:t>Reinstating courses or removal of suspension</w:t>
            </w:r>
          </w:p>
          <w:p w14:paraId="37CE24D7" w14:textId="77777777" w:rsidR="00437B07" w:rsidRPr="00527018" w:rsidRDefault="00437B07" w:rsidP="00437B07">
            <w:pPr>
              <w:rPr>
                <w:rFonts w:ascii="Calibri" w:hAnsi="Calibri" w:cs="Arial"/>
                <w:szCs w:val="22"/>
                <w:lang w:eastAsia="en-GB"/>
              </w:rPr>
            </w:pPr>
          </w:p>
          <w:p w14:paraId="7A68298A" w14:textId="54BA2E13" w:rsidR="00437B07" w:rsidRPr="00527018" w:rsidRDefault="00437B07" w:rsidP="00437B07">
            <w:pPr>
              <w:numPr>
                <w:ilvl w:val="0"/>
                <w:numId w:val="4"/>
              </w:numPr>
              <w:ind w:hanging="720"/>
              <w:contextualSpacing/>
              <w:rPr>
                <w:rFonts w:ascii="Calibri" w:hAnsi="Calibri" w:cs="Arial"/>
                <w:szCs w:val="22"/>
                <w:lang w:eastAsia="en-GB"/>
              </w:rPr>
            </w:pPr>
            <w:r w:rsidRPr="00527018">
              <w:rPr>
                <w:rFonts w:ascii="Calibri" w:hAnsi="Calibri" w:cs="Arial"/>
                <w:szCs w:val="22"/>
                <w:lang w:eastAsia="en-GB"/>
              </w:rPr>
              <w:t>Courses that have been suspended will automatically become available at the end of the period for which the suspension was originally agreed unless the</w:t>
            </w:r>
            <w:r w:rsidR="00CE5722" w:rsidRPr="00527018">
              <w:rPr>
                <w:rFonts w:ascii="Calibri" w:hAnsi="Calibri" w:cs="Arial"/>
                <w:szCs w:val="22"/>
                <w:lang w:eastAsia="en-GB"/>
              </w:rPr>
              <w:t xml:space="preserve"> School</w:t>
            </w:r>
            <w:r w:rsidRPr="00527018">
              <w:rPr>
                <w:rFonts w:ascii="Calibri" w:hAnsi="Calibri" w:cs="Arial"/>
                <w:szCs w:val="22"/>
                <w:lang w:eastAsia="en-GB"/>
              </w:rPr>
              <w:t xml:space="preserve"> applies for an extension.  </w:t>
            </w:r>
            <w:r w:rsidRPr="00527018">
              <w:rPr>
                <w:rFonts w:ascii="Calibri" w:eastAsia="Calibri" w:hAnsi="Calibri"/>
                <w:szCs w:val="22"/>
                <w:lang w:eastAsia="en-GB"/>
              </w:rPr>
              <w:t>Where a course has been suspended for two consecutive years, the</w:t>
            </w:r>
            <w:r w:rsidR="00CE5722" w:rsidRPr="00527018">
              <w:rPr>
                <w:rFonts w:ascii="Calibri" w:eastAsia="Calibri" w:hAnsi="Calibri"/>
                <w:szCs w:val="22"/>
                <w:lang w:eastAsia="en-GB"/>
              </w:rPr>
              <w:t xml:space="preserve"> School</w:t>
            </w:r>
            <w:r w:rsidRPr="00527018">
              <w:rPr>
                <w:rFonts w:ascii="Calibri" w:eastAsia="Calibri" w:hAnsi="Calibri"/>
                <w:szCs w:val="22"/>
                <w:lang w:eastAsia="en-GB"/>
              </w:rPr>
              <w:t xml:space="preserve"> should consider whether it would be appropriate to close the course.  </w:t>
            </w:r>
          </w:p>
          <w:p w14:paraId="090E8062" w14:textId="77777777" w:rsidR="00437B07" w:rsidRPr="00527018" w:rsidRDefault="00437B07" w:rsidP="00437B07">
            <w:pPr>
              <w:ind w:hanging="10"/>
              <w:rPr>
                <w:rFonts w:ascii="Calibri" w:hAnsi="Calibri" w:cs="Arial"/>
                <w:szCs w:val="22"/>
                <w:lang w:eastAsia="en-GB"/>
              </w:rPr>
            </w:pPr>
          </w:p>
          <w:p w14:paraId="0C5FDCC9" w14:textId="058668E5" w:rsidR="00437B07" w:rsidRPr="00527018" w:rsidRDefault="00437B07" w:rsidP="00437B07">
            <w:pPr>
              <w:numPr>
                <w:ilvl w:val="0"/>
                <w:numId w:val="4"/>
              </w:numPr>
              <w:ind w:hanging="720"/>
              <w:contextualSpacing/>
              <w:rPr>
                <w:rFonts w:ascii="Calibri" w:eastAsia="Calibri" w:hAnsi="Calibri"/>
                <w:szCs w:val="22"/>
                <w:lang w:eastAsia="en-GB"/>
              </w:rPr>
            </w:pPr>
            <w:r w:rsidRPr="00527018">
              <w:rPr>
                <w:rFonts w:ascii="Calibri" w:hAnsi="Calibri" w:cs="Arial"/>
                <w:szCs w:val="22"/>
                <w:lang w:eastAsia="en-GB"/>
              </w:rPr>
              <w:t>Should the</w:t>
            </w:r>
            <w:r w:rsidR="00CE5722" w:rsidRPr="00527018">
              <w:rPr>
                <w:rFonts w:ascii="Calibri" w:hAnsi="Calibri" w:cs="Arial"/>
                <w:szCs w:val="22"/>
                <w:lang w:eastAsia="en-GB"/>
              </w:rPr>
              <w:t xml:space="preserve"> School</w:t>
            </w:r>
            <w:r w:rsidRPr="00527018">
              <w:rPr>
                <w:rFonts w:ascii="Calibri" w:hAnsi="Calibri" w:cs="Arial"/>
                <w:szCs w:val="22"/>
                <w:lang w:eastAsia="en-GB"/>
              </w:rPr>
              <w:t xml:space="preserve"> wish to reinstate the course before the end of the period of suspension, an application can be made to this effect.</w:t>
            </w:r>
          </w:p>
          <w:p w14:paraId="54A5D2CD" w14:textId="77777777" w:rsidR="00437B07" w:rsidRPr="00A13B9C" w:rsidRDefault="00437B07" w:rsidP="00437B07">
            <w:pPr>
              <w:rPr>
                <w:rFonts w:ascii="Cambria" w:hAnsi="Cambria" w:cs="Arial"/>
                <w:i/>
                <w:szCs w:val="22"/>
                <w:lang w:eastAsia="en-GB"/>
              </w:rPr>
            </w:pPr>
          </w:p>
        </w:tc>
      </w:tr>
    </w:tbl>
    <w:p w14:paraId="6AA3E6B3" w14:textId="2DFF1A89" w:rsidR="00687715" w:rsidRDefault="00687715" w:rsidP="00437B07">
      <w:pPr>
        <w:rPr>
          <w:rFonts w:ascii="Cambria" w:hAnsi="Cambria" w:cs="Arial"/>
          <w:szCs w:val="22"/>
          <w:lang w:val="en-AU" w:eastAsia="en-GB"/>
        </w:rPr>
      </w:pPr>
    </w:p>
    <w:p w14:paraId="2EA9B6B0" w14:textId="77777777" w:rsidR="00687715" w:rsidRDefault="00687715">
      <w:pPr>
        <w:rPr>
          <w:rFonts w:ascii="Cambria" w:hAnsi="Cambria" w:cs="Arial"/>
          <w:szCs w:val="22"/>
          <w:lang w:val="en-AU" w:eastAsia="en-GB"/>
        </w:rPr>
      </w:pPr>
      <w:r>
        <w:rPr>
          <w:rFonts w:ascii="Cambria" w:hAnsi="Cambria" w:cs="Arial"/>
          <w:szCs w:val="22"/>
          <w:lang w:val="en-AU" w:eastAsia="en-GB"/>
        </w:rPr>
        <w:br w:type="page"/>
      </w:r>
    </w:p>
    <w:p w14:paraId="49C1E1C5" w14:textId="77777777" w:rsidR="00A13B9C" w:rsidRDefault="00A13B9C" w:rsidP="00437B07">
      <w:pPr>
        <w:rPr>
          <w:rFonts w:ascii="Cambria" w:hAnsi="Cambria" w:cs="Arial"/>
          <w:szCs w:val="22"/>
          <w:lang w:val="en-AU" w:eastAsia="en-GB"/>
        </w:rPr>
      </w:pPr>
    </w:p>
    <w:p w14:paraId="66EDEA61" w14:textId="280508DF" w:rsidR="00437B07" w:rsidRPr="00A13B9C" w:rsidRDefault="00437B07" w:rsidP="00437B07">
      <w:pPr>
        <w:pBdr>
          <w:top w:val="single" w:sz="4" w:space="1" w:color="auto"/>
        </w:pBdr>
        <w:rPr>
          <w:rFonts w:ascii="Cambria" w:hAnsi="Cambria" w:cs="Arial"/>
          <w:szCs w:val="22"/>
          <w:lang w:val="en-AU" w:eastAsia="en-GB"/>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8" w:type="dxa"/>
          <w:left w:w="28" w:type="dxa"/>
          <w:bottom w:w="28" w:type="dxa"/>
          <w:right w:w="28" w:type="dxa"/>
        </w:tblCellMar>
        <w:tblLook w:val="01E0" w:firstRow="1" w:lastRow="1" w:firstColumn="1" w:lastColumn="1" w:noHBand="0" w:noVBand="0"/>
      </w:tblPr>
      <w:tblGrid>
        <w:gridCol w:w="3819"/>
        <w:gridCol w:w="5197"/>
      </w:tblGrid>
      <w:tr w:rsidR="00437B07" w:rsidRPr="00A51BB3" w14:paraId="2A217350" w14:textId="77777777" w:rsidTr="00433D2B">
        <w:trPr>
          <w:jc w:val="center"/>
        </w:trPr>
        <w:tc>
          <w:tcPr>
            <w:tcW w:w="4074" w:type="dxa"/>
            <w:shd w:val="clear" w:color="auto" w:fill="548DD4" w:themeFill="text2" w:themeFillTint="99"/>
          </w:tcPr>
          <w:p w14:paraId="50457F4D" w14:textId="77777777" w:rsidR="00437B07" w:rsidRPr="00A51BB3" w:rsidRDefault="00437B07" w:rsidP="00437B07">
            <w:pPr>
              <w:rPr>
                <w:rFonts w:asciiTheme="minorHAnsi" w:hAnsiTheme="minorHAnsi" w:cstheme="minorHAnsi"/>
                <w:color w:val="000000" w:themeColor="text1"/>
                <w:szCs w:val="22"/>
                <w:lang w:eastAsia="en-GB"/>
              </w:rPr>
            </w:pPr>
            <w:r w:rsidRPr="00A51BB3">
              <w:rPr>
                <w:rFonts w:asciiTheme="minorHAnsi" w:hAnsiTheme="minorHAnsi" w:cstheme="minorHAnsi"/>
                <w:b/>
                <w:color w:val="000000" w:themeColor="text1"/>
                <w:szCs w:val="22"/>
                <w:lang w:eastAsia="en-GB"/>
              </w:rPr>
              <w:t>Date Approved</w:t>
            </w:r>
          </w:p>
        </w:tc>
        <w:tc>
          <w:tcPr>
            <w:tcW w:w="5656" w:type="dxa"/>
          </w:tcPr>
          <w:p w14:paraId="153194AD" w14:textId="210657FB" w:rsidR="00437B07" w:rsidRPr="00A51BB3" w:rsidRDefault="00100CD1" w:rsidP="00100CD1">
            <w:pPr>
              <w:rPr>
                <w:rFonts w:asciiTheme="minorHAnsi" w:hAnsiTheme="minorHAnsi" w:cstheme="minorHAnsi"/>
                <w:color w:val="000000" w:themeColor="text1"/>
                <w:szCs w:val="22"/>
                <w:lang w:eastAsia="en-GB"/>
              </w:rPr>
            </w:pPr>
            <w:r w:rsidRPr="00A51BB3">
              <w:rPr>
                <w:rFonts w:asciiTheme="minorHAnsi" w:hAnsiTheme="minorHAnsi" w:cstheme="minorHAnsi"/>
                <w:color w:val="000000" w:themeColor="text1"/>
                <w:szCs w:val="22"/>
                <w:lang w:eastAsia="en-GB"/>
              </w:rPr>
              <w:t>26</w:t>
            </w:r>
            <w:r w:rsidR="00437B07" w:rsidRPr="00A51BB3">
              <w:rPr>
                <w:rFonts w:asciiTheme="minorHAnsi" w:hAnsiTheme="minorHAnsi" w:cstheme="minorHAnsi"/>
                <w:color w:val="000000" w:themeColor="text1"/>
                <w:szCs w:val="22"/>
                <w:lang w:eastAsia="en-GB"/>
              </w:rPr>
              <w:t xml:space="preserve">th </w:t>
            </w:r>
            <w:r w:rsidRPr="00A51BB3">
              <w:rPr>
                <w:rFonts w:asciiTheme="minorHAnsi" w:hAnsiTheme="minorHAnsi" w:cstheme="minorHAnsi"/>
                <w:color w:val="000000" w:themeColor="text1"/>
                <w:szCs w:val="22"/>
                <w:lang w:eastAsia="en-GB"/>
              </w:rPr>
              <w:t xml:space="preserve">April </w:t>
            </w:r>
            <w:r w:rsidR="00437B07" w:rsidRPr="00A51BB3">
              <w:rPr>
                <w:rFonts w:asciiTheme="minorHAnsi" w:hAnsiTheme="minorHAnsi" w:cstheme="minorHAnsi"/>
                <w:color w:val="000000" w:themeColor="text1"/>
                <w:szCs w:val="22"/>
                <w:lang w:eastAsia="en-GB"/>
              </w:rPr>
              <w:t>2017</w:t>
            </w:r>
          </w:p>
        </w:tc>
      </w:tr>
      <w:tr w:rsidR="00437B07" w:rsidRPr="00A51BB3" w14:paraId="673CB1C6" w14:textId="77777777" w:rsidTr="00433D2B">
        <w:trPr>
          <w:jc w:val="center"/>
        </w:trPr>
        <w:tc>
          <w:tcPr>
            <w:tcW w:w="4074" w:type="dxa"/>
            <w:shd w:val="clear" w:color="auto" w:fill="548DD4" w:themeFill="text2" w:themeFillTint="99"/>
          </w:tcPr>
          <w:p w14:paraId="60517BF5" w14:textId="77777777" w:rsidR="00437B07" w:rsidRPr="00A51BB3" w:rsidRDefault="00437B07" w:rsidP="00437B07">
            <w:pPr>
              <w:rPr>
                <w:rFonts w:asciiTheme="minorHAnsi" w:hAnsiTheme="minorHAnsi" w:cstheme="minorHAnsi"/>
                <w:szCs w:val="22"/>
                <w:lang w:eastAsia="en-GB"/>
              </w:rPr>
            </w:pPr>
            <w:r w:rsidRPr="00A51BB3">
              <w:rPr>
                <w:rFonts w:asciiTheme="minorHAnsi" w:hAnsiTheme="minorHAnsi" w:cstheme="minorHAnsi"/>
                <w:b/>
                <w:szCs w:val="22"/>
                <w:lang w:eastAsia="en-GB"/>
              </w:rPr>
              <w:t>Approval Authority</w:t>
            </w:r>
          </w:p>
        </w:tc>
        <w:tc>
          <w:tcPr>
            <w:tcW w:w="5656" w:type="dxa"/>
          </w:tcPr>
          <w:p w14:paraId="310D532D" w14:textId="66F85859" w:rsidR="00437B07" w:rsidRPr="00A51BB3" w:rsidRDefault="00100CD1" w:rsidP="00437B07">
            <w:pPr>
              <w:rPr>
                <w:rFonts w:asciiTheme="minorHAnsi" w:hAnsiTheme="minorHAnsi" w:cstheme="minorHAnsi"/>
                <w:color w:val="FF0000"/>
                <w:szCs w:val="22"/>
                <w:lang w:eastAsia="en-GB"/>
              </w:rPr>
            </w:pPr>
            <w:r w:rsidRPr="00A51BB3">
              <w:rPr>
                <w:rFonts w:asciiTheme="minorHAnsi" w:hAnsiTheme="minorHAnsi" w:cstheme="minorHAnsi"/>
                <w:color w:val="000000" w:themeColor="text1"/>
                <w:szCs w:val="22"/>
                <w:lang w:eastAsia="en-GB"/>
              </w:rPr>
              <w:t>Academic Board</w:t>
            </w:r>
          </w:p>
        </w:tc>
      </w:tr>
      <w:tr w:rsidR="00437B07" w:rsidRPr="00A51BB3" w14:paraId="55EE633E" w14:textId="77777777" w:rsidTr="00433D2B">
        <w:trPr>
          <w:jc w:val="center"/>
        </w:trPr>
        <w:tc>
          <w:tcPr>
            <w:tcW w:w="4074" w:type="dxa"/>
            <w:shd w:val="clear" w:color="auto" w:fill="548DD4" w:themeFill="text2" w:themeFillTint="99"/>
          </w:tcPr>
          <w:p w14:paraId="1E7CDD43" w14:textId="77777777" w:rsidR="00437B07" w:rsidRPr="00A51BB3" w:rsidRDefault="00437B07" w:rsidP="00437B07">
            <w:pPr>
              <w:rPr>
                <w:rFonts w:asciiTheme="minorHAnsi" w:hAnsiTheme="minorHAnsi" w:cstheme="minorHAnsi"/>
                <w:b/>
                <w:color w:val="000000" w:themeColor="text1"/>
                <w:szCs w:val="22"/>
                <w:lang w:eastAsia="en-GB"/>
              </w:rPr>
            </w:pPr>
            <w:r w:rsidRPr="00A51BB3">
              <w:rPr>
                <w:rFonts w:asciiTheme="minorHAnsi" w:hAnsiTheme="minorHAnsi" w:cstheme="minorHAnsi"/>
                <w:b/>
                <w:color w:val="000000" w:themeColor="text1"/>
                <w:szCs w:val="22"/>
                <w:lang w:eastAsia="en-GB"/>
              </w:rPr>
              <w:t>Date of Commencement</w:t>
            </w:r>
          </w:p>
        </w:tc>
        <w:tc>
          <w:tcPr>
            <w:tcW w:w="5656" w:type="dxa"/>
          </w:tcPr>
          <w:p w14:paraId="37410F22" w14:textId="77777777" w:rsidR="00437B07" w:rsidRPr="00A51BB3" w:rsidRDefault="00437B07" w:rsidP="00437B07">
            <w:pPr>
              <w:rPr>
                <w:rFonts w:asciiTheme="minorHAnsi" w:hAnsiTheme="minorHAnsi" w:cstheme="minorHAnsi"/>
                <w:color w:val="000000" w:themeColor="text1"/>
                <w:szCs w:val="22"/>
                <w:lang w:eastAsia="en-GB"/>
              </w:rPr>
            </w:pPr>
            <w:r w:rsidRPr="00A51BB3">
              <w:rPr>
                <w:rFonts w:asciiTheme="minorHAnsi" w:hAnsiTheme="minorHAnsi" w:cstheme="minorHAnsi"/>
                <w:color w:val="000000" w:themeColor="text1"/>
                <w:szCs w:val="22"/>
                <w:lang w:eastAsia="en-GB"/>
              </w:rPr>
              <w:t>April 2017</w:t>
            </w:r>
          </w:p>
        </w:tc>
      </w:tr>
      <w:tr w:rsidR="00437B07" w:rsidRPr="00A51BB3" w14:paraId="2086584A" w14:textId="77777777" w:rsidTr="00433D2B">
        <w:trPr>
          <w:jc w:val="center"/>
        </w:trPr>
        <w:tc>
          <w:tcPr>
            <w:tcW w:w="4074" w:type="dxa"/>
            <w:shd w:val="clear" w:color="auto" w:fill="548DD4" w:themeFill="text2" w:themeFillTint="99"/>
          </w:tcPr>
          <w:p w14:paraId="35621DD6" w14:textId="77777777" w:rsidR="00437B07" w:rsidRPr="00A51BB3" w:rsidRDefault="00437B07" w:rsidP="00437B07">
            <w:pPr>
              <w:rPr>
                <w:rFonts w:asciiTheme="minorHAnsi" w:hAnsiTheme="minorHAnsi" w:cstheme="minorHAnsi"/>
                <w:szCs w:val="22"/>
                <w:lang w:eastAsia="en-GB"/>
              </w:rPr>
            </w:pPr>
            <w:r w:rsidRPr="00A51BB3">
              <w:rPr>
                <w:rFonts w:asciiTheme="minorHAnsi" w:hAnsiTheme="minorHAnsi" w:cstheme="minorHAnsi"/>
                <w:b/>
                <w:szCs w:val="22"/>
                <w:lang w:eastAsia="en-GB"/>
              </w:rPr>
              <w:t>Amendment Dates</w:t>
            </w:r>
          </w:p>
        </w:tc>
        <w:tc>
          <w:tcPr>
            <w:tcW w:w="5656" w:type="dxa"/>
          </w:tcPr>
          <w:p w14:paraId="460EB33B" w14:textId="6CBABF82" w:rsidR="00437B07" w:rsidRPr="00A3245F" w:rsidRDefault="00A3245F" w:rsidP="00437B07">
            <w:pPr>
              <w:rPr>
                <w:rFonts w:asciiTheme="minorHAnsi" w:hAnsiTheme="minorHAnsi" w:cstheme="minorHAnsi"/>
                <w:szCs w:val="22"/>
                <w:lang w:eastAsia="en-GB"/>
              </w:rPr>
            </w:pPr>
            <w:r w:rsidRPr="00A3245F">
              <w:rPr>
                <w:rFonts w:asciiTheme="minorHAnsi" w:hAnsiTheme="minorHAnsi" w:cstheme="minorHAnsi"/>
                <w:szCs w:val="22"/>
                <w:lang w:eastAsia="en-GB"/>
              </w:rPr>
              <w:t xml:space="preserve">September </w:t>
            </w:r>
            <w:r w:rsidR="00A63725" w:rsidRPr="00A3245F">
              <w:rPr>
                <w:rFonts w:asciiTheme="minorHAnsi" w:hAnsiTheme="minorHAnsi" w:cstheme="minorHAnsi"/>
                <w:szCs w:val="22"/>
                <w:lang w:eastAsia="en-GB"/>
              </w:rPr>
              <w:t>2019</w:t>
            </w:r>
          </w:p>
          <w:p w14:paraId="3DAE4685" w14:textId="77777777" w:rsidR="008A5BB4" w:rsidRPr="00A3245F" w:rsidRDefault="008A5BB4" w:rsidP="00437B07">
            <w:pPr>
              <w:rPr>
                <w:rFonts w:asciiTheme="minorHAnsi" w:hAnsiTheme="minorHAnsi" w:cstheme="minorHAnsi"/>
                <w:szCs w:val="22"/>
                <w:lang w:eastAsia="en-GB"/>
              </w:rPr>
            </w:pPr>
            <w:r w:rsidRPr="00A3245F">
              <w:rPr>
                <w:rFonts w:asciiTheme="minorHAnsi" w:hAnsiTheme="minorHAnsi" w:cstheme="minorHAnsi"/>
                <w:szCs w:val="22"/>
                <w:lang w:eastAsia="en-GB"/>
              </w:rPr>
              <w:t>Changes due to restructure from Institutes to Schools and Colleges, CSG to APPG.</w:t>
            </w:r>
          </w:p>
          <w:p w14:paraId="101F6C31" w14:textId="38F25958" w:rsidR="008A5BB4" w:rsidRPr="00A51BB3" w:rsidRDefault="008A5BB4" w:rsidP="008A5BB4">
            <w:pPr>
              <w:rPr>
                <w:rFonts w:asciiTheme="minorHAnsi" w:hAnsiTheme="minorHAnsi" w:cstheme="minorHAnsi"/>
                <w:i/>
                <w:szCs w:val="22"/>
                <w:highlight w:val="yellow"/>
                <w:lang w:eastAsia="en-GB"/>
              </w:rPr>
            </w:pPr>
            <w:r w:rsidRPr="00A3245F">
              <w:rPr>
                <w:rFonts w:asciiTheme="minorHAnsi" w:hAnsiTheme="minorHAnsi" w:cstheme="minorHAnsi"/>
                <w:szCs w:val="22"/>
                <w:lang w:eastAsia="en-GB"/>
              </w:rPr>
              <w:t>Changes to align terminology with the Terms and Conditions for Applicants.</w:t>
            </w:r>
          </w:p>
        </w:tc>
      </w:tr>
      <w:tr w:rsidR="00437B07" w:rsidRPr="00A51BB3" w14:paraId="60AC3603" w14:textId="77777777" w:rsidTr="00433D2B">
        <w:trPr>
          <w:jc w:val="center"/>
        </w:trPr>
        <w:tc>
          <w:tcPr>
            <w:tcW w:w="4074" w:type="dxa"/>
            <w:shd w:val="clear" w:color="auto" w:fill="548DD4" w:themeFill="text2" w:themeFillTint="99"/>
          </w:tcPr>
          <w:p w14:paraId="5CF5C31B" w14:textId="77777777" w:rsidR="00437B07" w:rsidRPr="00A51BB3" w:rsidRDefault="00437B07" w:rsidP="00437B07">
            <w:pPr>
              <w:rPr>
                <w:rFonts w:asciiTheme="minorHAnsi" w:hAnsiTheme="minorHAnsi" w:cstheme="minorHAnsi"/>
                <w:color w:val="000000" w:themeColor="text1"/>
                <w:szCs w:val="22"/>
                <w:lang w:eastAsia="en-GB"/>
              </w:rPr>
            </w:pPr>
            <w:r w:rsidRPr="00A51BB3">
              <w:rPr>
                <w:rFonts w:asciiTheme="minorHAnsi" w:hAnsiTheme="minorHAnsi" w:cstheme="minorHAnsi"/>
                <w:b/>
                <w:color w:val="000000" w:themeColor="text1"/>
                <w:szCs w:val="22"/>
                <w:lang w:eastAsia="en-GB"/>
              </w:rPr>
              <w:t>Date for Next Review</w:t>
            </w:r>
          </w:p>
        </w:tc>
        <w:tc>
          <w:tcPr>
            <w:tcW w:w="5656" w:type="dxa"/>
          </w:tcPr>
          <w:p w14:paraId="5B4AD3CD" w14:textId="62861DA3" w:rsidR="00437B07" w:rsidRPr="00A51BB3" w:rsidRDefault="008A5BB4" w:rsidP="00437B07">
            <w:pPr>
              <w:rPr>
                <w:rFonts w:asciiTheme="minorHAnsi" w:hAnsiTheme="minorHAnsi" w:cstheme="minorHAnsi"/>
                <w:color w:val="000000" w:themeColor="text1"/>
                <w:szCs w:val="22"/>
                <w:lang w:eastAsia="en-GB"/>
              </w:rPr>
            </w:pPr>
            <w:r w:rsidRPr="00A51BB3">
              <w:rPr>
                <w:rFonts w:asciiTheme="minorHAnsi" w:hAnsiTheme="minorHAnsi" w:cstheme="minorHAnsi"/>
                <w:color w:val="000000" w:themeColor="text1"/>
                <w:szCs w:val="22"/>
                <w:lang w:eastAsia="en-GB"/>
              </w:rPr>
              <w:t>August</w:t>
            </w:r>
            <w:r w:rsidR="00A63725" w:rsidRPr="00A51BB3">
              <w:rPr>
                <w:rFonts w:asciiTheme="minorHAnsi" w:hAnsiTheme="minorHAnsi" w:cstheme="minorHAnsi"/>
                <w:color w:val="000000" w:themeColor="text1"/>
                <w:szCs w:val="22"/>
                <w:lang w:eastAsia="en-GB"/>
              </w:rPr>
              <w:t xml:space="preserve"> 202</w:t>
            </w:r>
            <w:r w:rsidRPr="00A51BB3">
              <w:rPr>
                <w:rFonts w:asciiTheme="minorHAnsi" w:hAnsiTheme="minorHAnsi" w:cstheme="minorHAnsi"/>
                <w:color w:val="000000" w:themeColor="text1"/>
                <w:szCs w:val="22"/>
                <w:lang w:eastAsia="en-GB"/>
              </w:rPr>
              <w:t>2</w:t>
            </w:r>
          </w:p>
        </w:tc>
      </w:tr>
      <w:tr w:rsidR="00437B07" w:rsidRPr="00A51BB3" w14:paraId="065944C7" w14:textId="77777777" w:rsidTr="00433D2B">
        <w:trPr>
          <w:jc w:val="center"/>
        </w:trPr>
        <w:tc>
          <w:tcPr>
            <w:tcW w:w="4074" w:type="dxa"/>
            <w:shd w:val="clear" w:color="auto" w:fill="548DD4" w:themeFill="text2" w:themeFillTint="99"/>
          </w:tcPr>
          <w:p w14:paraId="49A1096D" w14:textId="77777777" w:rsidR="00437B07" w:rsidRPr="00A51BB3" w:rsidRDefault="00437B07" w:rsidP="00437B07">
            <w:pPr>
              <w:rPr>
                <w:rFonts w:asciiTheme="minorHAnsi" w:hAnsiTheme="minorHAnsi" w:cstheme="minorHAnsi"/>
                <w:b/>
                <w:szCs w:val="22"/>
                <w:lang w:eastAsia="en-GB"/>
              </w:rPr>
            </w:pPr>
            <w:r w:rsidRPr="00A51BB3">
              <w:rPr>
                <w:rFonts w:asciiTheme="minorHAnsi" w:hAnsiTheme="minorHAnsi" w:cstheme="minorHAnsi"/>
                <w:b/>
                <w:szCs w:val="22"/>
                <w:lang w:eastAsia="en-GB"/>
              </w:rPr>
              <w:t>Related Policies, Procedures, Guidance, Forms or Templates</w:t>
            </w:r>
          </w:p>
        </w:tc>
        <w:tc>
          <w:tcPr>
            <w:tcW w:w="5656" w:type="dxa"/>
          </w:tcPr>
          <w:p w14:paraId="216D9A1B" w14:textId="14FFBEBC" w:rsidR="008A5BB4" w:rsidRPr="00A51BB3" w:rsidRDefault="00A4099F" w:rsidP="00437B07">
            <w:pPr>
              <w:rPr>
                <w:rFonts w:asciiTheme="minorHAnsi" w:hAnsiTheme="minorHAnsi" w:cstheme="minorHAnsi"/>
              </w:rPr>
            </w:pPr>
            <w:hyperlink r:id="rId17" w:history="1">
              <w:r w:rsidR="008A5BB4" w:rsidRPr="00A51BB3">
                <w:rPr>
                  <w:rFonts w:asciiTheme="minorHAnsi" w:eastAsia="MS Mincho" w:hAnsiTheme="minorHAnsi" w:cstheme="minorHAnsi"/>
                  <w:color w:val="0000FF"/>
                  <w:szCs w:val="22"/>
                  <w:u w:val="single"/>
                  <w:lang w:eastAsia="ja-JP"/>
                </w:rPr>
                <w:t>Terms and Conditions for Applicants</w:t>
              </w:r>
            </w:hyperlink>
          </w:p>
          <w:p w14:paraId="41F3697F" w14:textId="7A3D6C38" w:rsidR="006E573B" w:rsidRPr="00A51BB3" w:rsidRDefault="00A4099F" w:rsidP="00437B07">
            <w:pPr>
              <w:rPr>
                <w:rFonts w:asciiTheme="minorHAnsi" w:hAnsiTheme="minorHAnsi" w:cstheme="minorHAnsi"/>
                <w:szCs w:val="22"/>
                <w:lang w:eastAsia="en-GB"/>
              </w:rPr>
            </w:pPr>
            <w:hyperlink r:id="rId18" w:history="1">
              <w:r w:rsidR="006E573B" w:rsidRPr="00A51BB3">
                <w:rPr>
                  <w:rStyle w:val="Hyperlink"/>
                  <w:rFonts w:asciiTheme="minorHAnsi" w:hAnsiTheme="minorHAnsi" w:cstheme="minorHAnsi"/>
                  <w:szCs w:val="22"/>
                  <w:lang w:eastAsia="en-GB"/>
                </w:rPr>
                <w:t xml:space="preserve">Procedures for Course Closure, </w:t>
              </w:r>
              <w:r w:rsidR="008A5BB4" w:rsidRPr="00A51BB3">
                <w:rPr>
                  <w:rStyle w:val="Hyperlink"/>
                  <w:rFonts w:asciiTheme="minorHAnsi" w:hAnsiTheme="minorHAnsi" w:cstheme="minorHAnsi"/>
                  <w:szCs w:val="22"/>
                  <w:lang w:eastAsia="en-GB"/>
                </w:rPr>
                <w:t>Suspension and Significant</w:t>
              </w:r>
              <w:r w:rsidR="006E573B" w:rsidRPr="00A51BB3">
                <w:rPr>
                  <w:rStyle w:val="Hyperlink"/>
                  <w:rFonts w:asciiTheme="minorHAnsi" w:hAnsiTheme="minorHAnsi" w:cstheme="minorHAnsi"/>
                  <w:szCs w:val="22"/>
                  <w:lang w:eastAsia="en-GB"/>
                </w:rPr>
                <w:t xml:space="preserve"> Change</w:t>
              </w:r>
            </w:hyperlink>
          </w:p>
          <w:p w14:paraId="3223113E" w14:textId="77777777" w:rsidR="006E573B" w:rsidRPr="00A51BB3" w:rsidRDefault="006E573B" w:rsidP="00437B07">
            <w:pPr>
              <w:rPr>
                <w:rFonts w:asciiTheme="minorHAnsi" w:hAnsiTheme="minorHAnsi" w:cstheme="minorHAnsi"/>
                <w:i/>
                <w:szCs w:val="22"/>
                <w:lang w:eastAsia="en-GB"/>
              </w:rPr>
            </w:pPr>
          </w:p>
        </w:tc>
      </w:tr>
      <w:tr w:rsidR="00437B07" w:rsidRPr="00A51BB3" w14:paraId="7F0ED859" w14:textId="77777777" w:rsidTr="00433D2B">
        <w:trPr>
          <w:jc w:val="center"/>
        </w:trPr>
        <w:tc>
          <w:tcPr>
            <w:tcW w:w="4074" w:type="dxa"/>
            <w:shd w:val="clear" w:color="auto" w:fill="548DD4" w:themeFill="text2" w:themeFillTint="99"/>
          </w:tcPr>
          <w:p w14:paraId="29B0442F" w14:textId="77777777" w:rsidR="00437B07" w:rsidRPr="00A51BB3" w:rsidRDefault="00437B07" w:rsidP="00437B07">
            <w:pPr>
              <w:rPr>
                <w:rFonts w:asciiTheme="minorHAnsi" w:hAnsiTheme="minorHAnsi" w:cstheme="minorHAnsi"/>
                <w:b/>
                <w:szCs w:val="22"/>
                <w:lang w:eastAsia="en-GB"/>
              </w:rPr>
            </w:pPr>
            <w:r w:rsidRPr="00A51BB3">
              <w:rPr>
                <w:rFonts w:asciiTheme="minorHAnsi" w:hAnsiTheme="minorHAnsi" w:cstheme="minorHAnsi"/>
                <w:b/>
                <w:szCs w:val="22"/>
                <w:lang w:eastAsia="en-GB"/>
              </w:rPr>
              <w:t>Policy/Policies Superseded by this document</w:t>
            </w:r>
          </w:p>
        </w:tc>
        <w:tc>
          <w:tcPr>
            <w:tcW w:w="5656" w:type="dxa"/>
          </w:tcPr>
          <w:p w14:paraId="6A349A42" w14:textId="69962C05" w:rsidR="00437B07" w:rsidRPr="00123F5C" w:rsidRDefault="00A3245F" w:rsidP="006E573B">
            <w:pPr>
              <w:rPr>
                <w:rFonts w:asciiTheme="minorHAnsi" w:hAnsiTheme="minorHAnsi" w:cstheme="minorHAnsi"/>
                <w:szCs w:val="22"/>
                <w:lang w:eastAsia="en-GB"/>
              </w:rPr>
            </w:pPr>
            <w:r w:rsidRPr="00123F5C">
              <w:rPr>
                <w:rFonts w:ascii="Calibri" w:eastAsia="Calibri" w:hAnsi="Calibri"/>
                <w:szCs w:val="22"/>
                <w:lang w:eastAsia="en-GB"/>
              </w:rPr>
              <w:t>Course Closure, Suspension and Major Change Policy - May 2017</w:t>
            </w:r>
          </w:p>
        </w:tc>
      </w:tr>
    </w:tbl>
    <w:p w14:paraId="778ED0A1" w14:textId="77777777" w:rsidR="00437B07" w:rsidRPr="00A51BB3" w:rsidRDefault="00437B07" w:rsidP="00437B07">
      <w:pPr>
        <w:rPr>
          <w:rFonts w:asciiTheme="minorHAnsi" w:hAnsiTheme="minorHAnsi" w:cstheme="minorHAnsi"/>
          <w:sz w:val="24"/>
          <w:lang w:eastAsia="en-GB"/>
        </w:rPr>
      </w:pPr>
    </w:p>
    <w:p w14:paraId="3CE6ABE5" w14:textId="77777777" w:rsidR="00981402" w:rsidRPr="00892990" w:rsidRDefault="00981402" w:rsidP="00981402">
      <w:pPr>
        <w:pStyle w:val="BodyTextIndent3"/>
        <w:rPr>
          <w:szCs w:val="22"/>
        </w:rPr>
      </w:pPr>
    </w:p>
    <w:sectPr w:rsidR="00981402" w:rsidRPr="00892990" w:rsidSect="00100CD1">
      <w:footerReference w:type="default" r:id="rId1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632D3" w14:textId="77777777" w:rsidR="00437B07" w:rsidRDefault="00437B07" w:rsidP="00437B07">
      <w:r>
        <w:separator/>
      </w:r>
    </w:p>
  </w:endnote>
  <w:endnote w:type="continuationSeparator" w:id="0">
    <w:p w14:paraId="05C876C3" w14:textId="77777777" w:rsidR="00437B07" w:rsidRDefault="00437B07" w:rsidP="0043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700050717"/>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7DB57AAF" w14:textId="7FA5C0A7" w:rsidR="00816D29" w:rsidRPr="00816D29" w:rsidRDefault="00816D29">
            <w:pPr>
              <w:pStyle w:val="Footer"/>
              <w:jc w:val="center"/>
              <w:rPr>
                <w:sz w:val="18"/>
                <w:szCs w:val="18"/>
              </w:rPr>
            </w:pPr>
            <w:r w:rsidRPr="00816D29">
              <w:rPr>
                <w:sz w:val="18"/>
                <w:szCs w:val="18"/>
              </w:rPr>
              <w:t xml:space="preserve">Page </w:t>
            </w:r>
            <w:r w:rsidRPr="00816D29">
              <w:rPr>
                <w:bCs/>
                <w:sz w:val="18"/>
                <w:szCs w:val="18"/>
              </w:rPr>
              <w:fldChar w:fldCharType="begin"/>
            </w:r>
            <w:r w:rsidRPr="00816D29">
              <w:rPr>
                <w:bCs/>
                <w:sz w:val="18"/>
                <w:szCs w:val="18"/>
              </w:rPr>
              <w:instrText xml:space="preserve"> PAGE </w:instrText>
            </w:r>
            <w:r w:rsidRPr="00816D29">
              <w:rPr>
                <w:bCs/>
                <w:sz w:val="18"/>
                <w:szCs w:val="18"/>
              </w:rPr>
              <w:fldChar w:fldCharType="separate"/>
            </w:r>
            <w:r w:rsidRPr="00816D29">
              <w:rPr>
                <w:bCs/>
                <w:noProof/>
                <w:sz w:val="18"/>
                <w:szCs w:val="18"/>
              </w:rPr>
              <w:t>2</w:t>
            </w:r>
            <w:r w:rsidRPr="00816D29">
              <w:rPr>
                <w:bCs/>
                <w:sz w:val="18"/>
                <w:szCs w:val="18"/>
              </w:rPr>
              <w:fldChar w:fldCharType="end"/>
            </w:r>
            <w:r w:rsidRPr="00816D29">
              <w:rPr>
                <w:sz w:val="18"/>
                <w:szCs w:val="18"/>
              </w:rPr>
              <w:t xml:space="preserve"> of </w:t>
            </w:r>
            <w:r w:rsidRPr="00816D29">
              <w:rPr>
                <w:bCs/>
                <w:sz w:val="18"/>
                <w:szCs w:val="18"/>
              </w:rPr>
              <w:fldChar w:fldCharType="begin"/>
            </w:r>
            <w:r w:rsidRPr="00816D29">
              <w:rPr>
                <w:bCs/>
                <w:sz w:val="18"/>
                <w:szCs w:val="18"/>
              </w:rPr>
              <w:instrText xml:space="preserve"> NUMPAGES  </w:instrText>
            </w:r>
            <w:r w:rsidRPr="00816D29">
              <w:rPr>
                <w:bCs/>
                <w:sz w:val="18"/>
                <w:szCs w:val="18"/>
              </w:rPr>
              <w:fldChar w:fldCharType="separate"/>
            </w:r>
            <w:r w:rsidRPr="00816D29">
              <w:rPr>
                <w:bCs/>
                <w:noProof/>
                <w:sz w:val="18"/>
                <w:szCs w:val="18"/>
              </w:rPr>
              <w:t>2</w:t>
            </w:r>
            <w:r w:rsidRPr="00816D29">
              <w:rPr>
                <w:bCs/>
                <w:sz w:val="18"/>
                <w:szCs w:val="18"/>
              </w:rPr>
              <w:fldChar w:fldCharType="end"/>
            </w:r>
          </w:p>
        </w:sdtContent>
      </w:sdt>
    </w:sdtContent>
  </w:sdt>
  <w:p w14:paraId="274D8539" w14:textId="77777777" w:rsidR="00100CD1" w:rsidRDefault="0010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0FB7F" w14:textId="77777777" w:rsidR="00437B07" w:rsidRDefault="00437B07" w:rsidP="00437B07">
      <w:r>
        <w:separator/>
      </w:r>
    </w:p>
  </w:footnote>
  <w:footnote w:type="continuationSeparator" w:id="0">
    <w:p w14:paraId="1C7FF621" w14:textId="77777777" w:rsidR="00437B07" w:rsidRDefault="00437B07" w:rsidP="00437B07">
      <w:r>
        <w:continuationSeparator/>
      </w:r>
    </w:p>
  </w:footnote>
  <w:footnote w:id="1">
    <w:p w14:paraId="24E20ACA" w14:textId="782E3976" w:rsidR="00437B07" w:rsidRDefault="00437B07" w:rsidP="00437B07">
      <w:pPr>
        <w:pStyle w:val="FootnoteText"/>
      </w:pPr>
      <w:r>
        <w:rPr>
          <w:rStyle w:val="FootnoteReference"/>
        </w:rPr>
        <w:footnoteRef/>
      </w:r>
      <w:r>
        <w:t xml:space="preserve"> </w:t>
      </w:r>
      <w:hyperlink r:id="rId1" w:history="1">
        <w:r w:rsidR="008B2924" w:rsidRPr="006E573B">
          <w:rPr>
            <w:rStyle w:val="Hyperlink"/>
            <w:rFonts w:ascii="Calibri" w:hAnsi="Calibri" w:cs="Arial"/>
            <w:szCs w:val="22"/>
            <w:lang w:eastAsia="en-GB"/>
          </w:rPr>
          <w:t>Procedures for Course Clo</w:t>
        </w:r>
        <w:r w:rsidR="008A5BB4">
          <w:rPr>
            <w:rStyle w:val="Hyperlink"/>
            <w:rFonts w:ascii="Calibri" w:hAnsi="Calibri" w:cs="Arial"/>
            <w:szCs w:val="22"/>
            <w:lang w:eastAsia="en-GB"/>
          </w:rPr>
          <w:t>sure, Suspension and Significant</w:t>
        </w:r>
        <w:r w:rsidR="008B2924" w:rsidRPr="006E573B">
          <w:rPr>
            <w:rStyle w:val="Hyperlink"/>
            <w:rFonts w:ascii="Calibri" w:hAnsi="Calibri" w:cs="Arial"/>
            <w:szCs w:val="22"/>
            <w:lang w:eastAsia="en-GB"/>
          </w:rPr>
          <w:t xml:space="preserve"> Change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C6F"/>
    <w:multiLevelType w:val="hybridMultilevel"/>
    <w:tmpl w:val="71FC3E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EA4A10"/>
    <w:multiLevelType w:val="hybridMultilevel"/>
    <w:tmpl w:val="35800072"/>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01733A"/>
    <w:multiLevelType w:val="hybridMultilevel"/>
    <w:tmpl w:val="4720FEDA"/>
    <w:lvl w:ilvl="0" w:tplc="ABAECEF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31D5C"/>
    <w:multiLevelType w:val="hybridMultilevel"/>
    <w:tmpl w:val="F1B66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0B90B51"/>
    <w:multiLevelType w:val="hybridMultilevel"/>
    <w:tmpl w:val="C7C42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243687"/>
    <w:multiLevelType w:val="hybridMultilevel"/>
    <w:tmpl w:val="42EA8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746593"/>
    <w:multiLevelType w:val="hybridMultilevel"/>
    <w:tmpl w:val="04487C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44"/>
    <w:rsid w:val="0006559E"/>
    <w:rsid w:val="0007719D"/>
    <w:rsid w:val="00086B1A"/>
    <w:rsid w:val="000B2364"/>
    <w:rsid w:val="00100CD1"/>
    <w:rsid w:val="00111C4B"/>
    <w:rsid w:val="0011741D"/>
    <w:rsid w:val="00123F5C"/>
    <w:rsid w:val="001303EE"/>
    <w:rsid w:val="001B690C"/>
    <w:rsid w:val="002B2784"/>
    <w:rsid w:val="002D365A"/>
    <w:rsid w:val="002E680C"/>
    <w:rsid w:val="002E7E44"/>
    <w:rsid w:val="002F0BC6"/>
    <w:rsid w:val="0033654B"/>
    <w:rsid w:val="00366CD9"/>
    <w:rsid w:val="0037382F"/>
    <w:rsid w:val="00437B07"/>
    <w:rsid w:val="004B2DE7"/>
    <w:rsid w:val="00505E66"/>
    <w:rsid w:val="00527018"/>
    <w:rsid w:val="00556D72"/>
    <w:rsid w:val="00572CDA"/>
    <w:rsid w:val="005A12CB"/>
    <w:rsid w:val="00610BF3"/>
    <w:rsid w:val="00632259"/>
    <w:rsid w:val="00640218"/>
    <w:rsid w:val="00677611"/>
    <w:rsid w:val="00687715"/>
    <w:rsid w:val="00692DBC"/>
    <w:rsid w:val="006B4079"/>
    <w:rsid w:val="006E573B"/>
    <w:rsid w:val="006E753D"/>
    <w:rsid w:val="006F4760"/>
    <w:rsid w:val="006F617B"/>
    <w:rsid w:val="0072128A"/>
    <w:rsid w:val="00726BCD"/>
    <w:rsid w:val="007312D2"/>
    <w:rsid w:val="00737322"/>
    <w:rsid w:val="0076009C"/>
    <w:rsid w:val="007B134A"/>
    <w:rsid w:val="0080435E"/>
    <w:rsid w:val="00816D29"/>
    <w:rsid w:val="0084680A"/>
    <w:rsid w:val="008A17EA"/>
    <w:rsid w:val="008A5BB4"/>
    <w:rsid w:val="008A5D4C"/>
    <w:rsid w:val="008B2924"/>
    <w:rsid w:val="008C26EC"/>
    <w:rsid w:val="008D6C5A"/>
    <w:rsid w:val="008F15DC"/>
    <w:rsid w:val="00917C91"/>
    <w:rsid w:val="009224E7"/>
    <w:rsid w:val="00981402"/>
    <w:rsid w:val="00982B46"/>
    <w:rsid w:val="009B39A2"/>
    <w:rsid w:val="009D0DD7"/>
    <w:rsid w:val="00A10FA1"/>
    <w:rsid w:val="00A13B9C"/>
    <w:rsid w:val="00A30F03"/>
    <w:rsid w:val="00A3245F"/>
    <w:rsid w:val="00A4099F"/>
    <w:rsid w:val="00A42940"/>
    <w:rsid w:val="00A51BB3"/>
    <w:rsid w:val="00A6048A"/>
    <w:rsid w:val="00A63725"/>
    <w:rsid w:val="00A77343"/>
    <w:rsid w:val="00A9163C"/>
    <w:rsid w:val="00AD2381"/>
    <w:rsid w:val="00B17B4C"/>
    <w:rsid w:val="00B20B10"/>
    <w:rsid w:val="00BB719B"/>
    <w:rsid w:val="00BD0F55"/>
    <w:rsid w:val="00BE04B0"/>
    <w:rsid w:val="00C37322"/>
    <w:rsid w:val="00CB50E2"/>
    <w:rsid w:val="00CC2BE1"/>
    <w:rsid w:val="00CC582F"/>
    <w:rsid w:val="00CD0711"/>
    <w:rsid w:val="00CD07D2"/>
    <w:rsid w:val="00CD3588"/>
    <w:rsid w:val="00CE5722"/>
    <w:rsid w:val="00CF4113"/>
    <w:rsid w:val="00CF4C5F"/>
    <w:rsid w:val="00D17691"/>
    <w:rsid w:val="00D91E3C"/>
    <w:rsid w:val="00DD77A2"/>
    <w:rsid w:val="00E362FE"/>
    <w:rsid w:val="00E72A39"/>
    <w:rsid w:val="00E93ED7"/>
    <w:rsid w:val="00EB13B4"/>
    <w:rsid w:val="00EE1DF8"/>
    <w:rsid w:val="00F273D0"/>
    <w:rsid w:val="00FB0894"/>
    <w:rsid w:val="00FD77DD"/>
    <w:rsid w:val="00FE6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5690"/>
  <w15:docId w15:val="{144D20C3-774B-458E-AD19-74044355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E44"/>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E4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E7E44"/>
    <w:rPr>
      <w:rFonts w:ascii="Tahoma" w:hAnsi="Tahoma" w:cs="Tahoma"/>
      <w:sz w:val="16"/>
      <w:szCs w:val="16"/>
    </w:rPr>
  </w:style>
  <w:style w:type="paragraph" w:styleId="BodyTextIndent3">
    <w:name w:val="Body Text Indent 3"/>
    <w:basedOn w:val="Normal"/>
    <w:link w:val="BodyTextIndent3Char"/>
    <w:rsid w:val="002E7E44"/>
    <w:pPr>
      <w:ind w:left="720" w:hanging="720"/>
    </w:pPr>
  </w:style>
  <w:style w:type="character" w:customStyle="1" w:styleId="BodyTextIndent3Char">
    <w:name w:val="Body Text Indent 3 Char"/>
    <w:basedOn w:val="DefaultParagraphFont"/>
    <w:link w:val="BodyTextIndent3"/>
    <w:rsid w:val="002E7E44"/>
    <w:rPr>
      <w:rFonts w:eastAsia="Times New Roman" w:cs="Times New Roman"/>
      <w:szCs w:val="24"/>
    </w:rPr>
  </w:style>
  <w:style w:type="paragraph" w:customStyle="1" w:styleId="Martin5">
    <w:name w:val="Martin 5"/>
    <w:basedOn w:val="Normal"/>
    <w:rsid w:val="002E7E44"/>
    <w:pPr>
      <w:tabs>
        <w:tab w:val="left" w:pos="432"/>
      </w:tabs>
      <w:spacing w:line="260" w:lineRule="exact"/>
    </w:pPr>
    <w:rPr>
      <w:rFonts w:cs="Tahoma"/>
      <w:w w:val="110"/>
      <w:sz w:val="18"/>
    </w:rPr>
  </w:style>
  <w:style w:type="paragraph" w:customStyle="1" w:styleId="bodytext">
    <w:name w:val="bodytext"/>
    <w:basedOn w:val="Normal"/>
    <w:rsid w:val="002E7E44"/>
    <w:pPr>
      <w:spacing w:before="100" w:beforeAutospacing="1" w:after="100" w:afterAutospacing="1"/>
    </w:pPr>
    <w:rPr>
      <w:rFonts w:ascii="Verdana" w:eastAsia="Arial Unicode MS" w:hAnsi="Verdana" w:cs="Arial Unicode MS"/>
      <w:sz w:val="24"/>
    </w:rPr>
  </w:style>
  <w:style w:type="paragraph" w:styleId="ListParagraph">
    <w:name w:val="List Paragraph"/>
    <w:basedOn w:val="Normal"/>
    <w:uiPriority w:val="34"/>
    <w:qFormat/>
    <w:rsid w:val="00981402"/>
    <w:pPr>
      <w:spacing w:after="200" w:line="276" w:lineRule="auto"/>
      <w:ind w:left="720"/>
      <w:contextualSpacing/>
    </w:pPr>
    <w:rPr>
      <w:rFonts w:asciiTheme="minorHAnsi" w:eastAsiaTheme="minorHAnsi" w:hAnsiTheme="minorHAnsi" w:cstheme="minorBidi"/>
      <w:szCs w:val="22"/>
    </w:rPr>
  </w:style>
  <w:style w:type="table" w:styleId="TableGrid">
    <w:name w:val="Table Grid"/>
    <w:basedOn w:val="TableNormal"/>
    <w:uiPriority w:val="59"/>
    <w:rsid w:val="0098140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981402"/>
    <w:pPr>
      <w:spacing w:after="120" w:line="480" w:lineRule="auto"/>
    </w:pPr>
    <w:rPr>
      <w:rFonts w:asciiTheme="minorHAnsi" w:eastAsiaTheme="minorHAnsi" w:hAnsiTheme="minorHAnsi" w:cstheme="minorBidi"/>
      <w:szCs w:val="22"/>
    </w:rPr>
  </w:style>
  <w:style w:type="character" w:customStyle="1" w:styleId="BodyText2Char">
    <w:name w:val="Body Text 2 Char"/>
    <w:basedOn w:val="DefaultParagraphFont"/>
    <w:link w:val="BodyText2"/>
    <w:uiPriority w:val="99"/>
    <w:semiHidden/>
    <w:rsid w:val="00981402"/>
    <w:rPr>
      <w:rFonts w:asciiTheme="minorHAnsi" w:hAnsiTheme="minorHAnsi"/>
    </w:rPr>
  </w:style>
  <w:style w:type="character" w:styleId="CommentReference">
    <w:name w:val="annotation reference"/>
    <w:basedOn w:val="DefaultParagraphFont"/>
    <w:uiPriority w:val="99"/>
    <w:semiHidden/>
    <w:unhideWhenUsed/>
    <w:rsid w:val="00437B07"/>
    <w:rPr>
      <w:sz w:val="16"/>
      <w:szCs w:val="16"/>
    </w:rPr>
  </w:style>
  <w:style w:type="paragraph" w:styleId="CommentText">
    <w:name w:val="annotation text"/>
    <w:basedOn w:val="Normal"/>
    <w:link w:val="CommentTextChar"/>
    <w:uiPriority w:val="99"/>
    <w:semiHidden/>
    <w:unhideWhenUsed/>
    <w:rsid w:val="00437B07"/>
    <w:rPr>
      <w:sz w:val="20"/>
      <w:szCs w:val="20"/>
      <w:lang w:eastAsia="en-GB"/>
    </w:rPr>
  </w:style>
  <w:style w:type="character" w:customStyle="1" w:styleId="CommentTextChar">
    <w:name w:val="Comment Text Char"/>
    <w:basedOn w:val="DefaultParagraphFont"/>
    <w:link w:val="CommentText"/>
    <w:uiPriority w:val="99"/>
    <w:semiHidden/>
    <w:rsid w:val="00437B07"/>
    <w:rPr>
      <w:rFonts w:eastAsia="Times New Roman" w:cs="Times New Roman"/>
      <w:sz w:val="20"/>
      <w:szCs w:val="20"/>
      <w:lang w:eastAsia="en-GB"/>
    </w:rPr>
  </w:style>
  <w:style w:type="paragraph" w:styleId="FootnoteText">
    <w:name w:val="footnote text"/>
    <w:basedOn w:val="Normal"/>
    <w:link w:val="FootnoteTextChar"/>
    <w:uiPriority w:val="99"/>
    <w:semiHidden/>
    <w:unhideWhenUsed/>
    <w:rsid w:val="00437B07"/>
    <w:rPr>
      <w:sz w:val="20"/>
      <w:szCs w:val="20"/>
    </w:rPr>
  </w:style>
  <w:style w:type="character" w:customStyle="1" w:styleId="FootnoteTextChar">
    <w:name w:val="Footnote Text Char"/>
    <w:basedOn w:val="DefaultParagraphFont"/>
    <w:link w:val="FootnoteText"/>
    <w:uiPriority w:val="99"/>
    <w:semiHidden/>
    <w:rsid w:val="00437B07"/>
    <w:rPr>
      <w:rFonts w:eastAsia="Times New Roman" w:cs="Times New Roman"/>
      <w:sz w:val="20"/>
      <w:szCs w:val="20"/>
    </w:rPr>
  </w:style>
  <w:style w:type="character" w:styleId="FootnoteReference">
    <w:name w:val="footnote reference"/>
    <w:basedOn w:val="DefaultParagraphFont"/>
    <w:uiPriority w:val="99"/>
    <w:semiHidden/>
    <w:unhideWhenUsed/>
    <w:rsid w:val="00437B07"/>
    <w:rPr>
      <w:vertAlign w:val="superscript"/>
    </w:rPr>
  </w:style>
  <w:style w:type="character" w:styleId="Hyperlink">
    <w:name w:val="Hyperlink"/>
    <w:basedOn w:val="DefaultParagraphFont"/>
    <w:uiPriority w:val="99"/>
    <w:unhideWhenUsed/>
    <w:rsid w:val="006E573B"/>
    <w:rPr>
      <w:color w:val="0000FF" w:themeColor="hyperlink"/>
      <w:u w:val="single"/>
    </w:rPr>
  </w:style>
  <w:style w:type="character" w:styleId="FollowedHyperlink">
    <w:name w:val="FollowedHyperlink"/>
    <w:basedOn w:val="DefaultParagraphFont"/>
    <w:uiPriority w:val="99"/>
    <w:semiHidden/>
    <w:unhideWhenUsed/>
    <w:rsid w:val="006E573B"/>
    <w:rPr>
      <w:color w:val="800080" w:themeColor="followedHyperlink"/>
      <w:u w:val="single"/>
    </w:rPr>
  </w:style>
  <w:style w:type="paragraph" w:styleId="Header">
    <w:name w:val="header"/>
    <w:basedOn w:val="Normal"/>
    <w:link w:val="HeaderChar"/>
    <w:uiPriority w:val="99"/>
    <w:unhideWhenUsed/>
    <w:rsid w:val="00100CD1"/>
    <w:pPr>
      <w:tabs>
        <w:tab w:val="center" w:pos="4513"/>
        <w:tab w:val="right" w:pos="9026"/>
      </w:tabs>
    </w:pPr>
  </w:style>
  <w:style w:type="character" w:customStyle="1" w:styleId="HeaderChar">
    <w:name w:val="Header Char"/>
    <w:basedOn w:val="DefaultParagraphFont"/>
    <w:link w:val="Header"/>
    <w:uiPriority w:val="99"/>
    <w:rsid w:val="00100CD1"/>
    <w:rPr>
      <w:rFonts w:eastAsia="Times New Roman" w:cs="Times New Roman"/>
      <w:szCs w:val="24"/>
    </w:rPr>
  </w:style>
  <w:style w:type="paragraph" w:styleId="Footer">
    <w:name w:val="footer"/>
    <w:basedOn w:val="Normal"/>
    <w:link w:val="FooterChar"/>
    <w:uiPriority w:val="99"/>
    <w:unhideWhenUsed/>
    <w:rsid w:val="00100CD1"/>
    <w:pPr>
      <w:tabs>
        <w:tab w:val="center" w:pos="4513"/>
        <w:tab w:val="right" w:pos="9026"/>
      </w:tabs>
    </w:pPr>
  </w:style>
  <w:style w:type="character" w:customStyle="1" w:styleId="FooterChar">
    <w:name w:val="Footer Char"/>
    <w:basedOn w:val="DefaultParagraphFont"/>
    <w:link w:val="Footer"/>
    <w:uiPriority w:val="99"/>
    <w:rsid w:val="00100CD1"/>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8A5D4C"/>
    <w:rPr>
      <w:b/>
      <w:bCs/>
      <w:lang w:eastAsia="en-US"/>
    </w:rPr>
  </w:style>
  <w:style w:type="character" w:customStyle="1" w:styleId="CommentSubjectChar">
    <w:name w:val="Comment Subject Char"/>
    <w:basedOn w:val="CommentTextChar"/>
    <w:link w:val="CommentSubject"/>
    <w:uiPriority w:val="99"/>
    <w:semiHidden/>
    <w:rsid w:val="008A5D4C"/>
    <w:rPr>
      <w:rFonts w:eastAsia="Times New Roman" w:cs="Times New Roman"/>
      <w:b/>
      <w:bCs/>
      <w:sz w:val="20"/>
      <w:szCs w:val="20"/>
      <w:lang w:eastAsia="en-GB"/>
    </w:rPr>
  </w:style>
  <w:style w:type="character" w:styleId="UnresolvedMention">
    <w:name w:val="Unresolved Mention"/>
    <w:basedOn w:val="DefaultParagraphFont"/>
    <w:uiPriority w:val="99"/>
    <w:semiHidden/>
    <w:unhideWhenUsed/>
    <w:rsid w:val="001B6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0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fficeforstudents.org.uk/advice-and-guidance/regulation/the-regulatory-framework-for-higher-education-in-england/" TargetMode="External"/><Relationship Id="rId18" Type="http://schemas.openxmlformats.org/officeDocument/2006/relationships/hyperlink" Target="http://www.worcester.ac.uk/aqu/documents/CourseClosureSuspensionSubstantialChangeProcedure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qaa.ac.uk/quality-code" TargetMode="External"/><Relationship Id="rId17" Type="http://schemas.openxmlformats.org/officeDocument/2006/relationships/hyperlink" Target="http://www.worcester.ac.uk/journey/admission-terms-and-conditions.html" TargetMode="External"/><Relationship Id="rId2" Type="http://schemas.openxmlformats.org/officeDocument/2006/relationships/customXml" Target="../customXml/item2.xml"/><Relationship Id="rId16" Type="http://schemas.openxmlformats.org/officeDocument/2006/relationships/hyperlink" Target="https://www2.worc.ac.uk/aqu/documents/CourseClosureSuspensionSignificantChange_procedures.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www.worcester.ac.uk/journey/admission-terms-and-conditions.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higher-education-consumer-law-advice-for-provide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orcester.ac.uk/aqu/documents/CourseClosureSuspensionSubstantialChangeProced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6" ma:contentTypeDescription="Create a new document." ma:contentTypeScope="" ma:versionID="2ba8739dc104fea33c968af946936ea1">
  <xsd:schema xmlns:xsd="http://www.w3.org/2001/XMLSchema" xmlns:xs="http://www.w3.org/2001/XMLSchema" xmlns:p="http://schemas.microsoft.com/office/2006/metadata/properties" xmlns:ns3="55a82d09-cf1d-452a-96d8-56f9a88d4d47" xmlns:ns4="1fdc4896-d213-41ae-b2b8-2a7ee76dd895" targetNamespace="http://schemas.microsoft.com/office/2006/metadata/properties" ma:root="true" ma:fieldsID="e60356c5b6bc41cb3b43ff29d739d422" ns3:_="" ns4:_="">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B4F719-A3ED-4BD5-92F9-8C231AEDA5BE}">
  <ds:schemaRefs>
    <ds:schemaRef ds:uri="http://schemas.microsoft.com/sharepoint/v3/contenttype/forms"/>
  </ds:schemaRefs>
</ds:datastoreItem>
</file>

<file path=customXml/itemProps2.xml><?xml version="1.0" encoding="utf-8"?>
<ds:datastoreItem xmlns:ds="http://schemas.openxmlformats.org/officeDocument/2006/customXml" ds:itemID="{6ECBA2A4-5705-42B4-87C5-BC05A1562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329FC-84A4-4E00-8F99-E17D9F5751D2}">
  <ds:schemaRefs>
    <ds:schemaRef ds:uri="http://schemas.openxmlformats.org/officeDocument/2006/bibliography"/>
  </ds:schemaRefs>
</ds:datastoreItem>
</file>

<file path=customXml/itemProps4.xml><?xml version="1.0" encoding="utf-8"?>
<ds:datastoreItem xmlns:ds="http://schemas.openxmlformats.org/officeDocument/2006/customXml" ds:itemID="{D6C4E3A9-19DC-420D-A0CB-9B9FCA8B1A03}">
  <ds:schemaRefs>
    <ds:schemaRef ds:uri="1fdc4896-d213-41ae-b2b8-2a7ee76dd895"/>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5a82d09-cf1d-452a-96d8-56f9a88d4d4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7245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Beckwith</dc:creator>
  <cp:lastModifiedBy>Sara Gibbon</cp:lastModifiedBy>
  <cp:revision>2</cp:revision>
  <cp:lastPrinted>2019-10-08T15:23:00Z</cp:lastPrinted>
  <dcterms:created xsi:type="dcterms:W3CDTF">2021-02-18T09:49:00Z</dcterms:created>
  <dcterms:modified xsi:type="dcterms:W3CDTF">2021-02-18T09:49:00Z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