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D8D4B" w14:textId="77777777" w:rsidR="00825E88" w:rsidRDefault="00825E88" w:rsidP="00825E88">
      <w:pPr>
        <w:spacing w:after="0" w:line="240" w:lineRule="auto"/>
        <w:rPr>
          <w:rFonts w:ascii="Arial" w:hAnsi="Arial" w:cs="Arial"/>
          <w:b/>
          <w:sz w:val="24"/>
          <w:szCs w:val="24"/>
        </w:rPr>
      </w:pPr>
      <w:r>
        <w:rPr>
          <w:noProof/>
          <w:sz w:val="20"/>
          <w:szCs w:val="20"/>
          <w:lang w:eastAsia="en-GB"/>
        </w:rPr>
        <w:drawing>
          <wp:inline distT="0" distB="0" distL="0" distR="0" wp14:anchorId="309D7EC4" wp14:editId="2514E5B8">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7"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316234D0" w14:textId="77777777" w:rsidR="00825E88" w:rsidRDefault="00825E88" w:rsidP="00825E88">
      <w:pPr>
        <w:spacing w:after="0" w:line="240" w:lineRule="auto"/>
        <w:rPr>
          <w:rFonts w:ascii="Arial" w:hAnsi="Arial" w:cs="Arial"/>
          <w:b/>
          <w:sz w:val="24"/>
          <w:szCs w:val="24"/>
        </w:rPr>
      </w:pPr>
    </w:p>
    <w:p w14:paraId="13712773" w14:textId="66051CED" w:rsidR="00825E88" w:rsidRPr="00C8445F" w:rsidRDefault="00C8445F" w:rsidP="00825E88">
      <w:pPr>
        <w:spacing w:after="0" w:line="240" w:lineRule="auto"/>
        <w:rPr>
          <w:rFonts w:ascii="Arial" w:hAnsi="Arial" w:cs="Arial"/>
          <w:b/>
          <w:sz w:val="24"/>
          <w:szCs w:val="24"/>
        </w:rPr>
      </w:pPr>
      <w:r w:rsidRPr="00C8445F">
        <w:rPr>
          <w:rFonts w:ascii="Arial" w:hAnsi="Arial" w:cs="Arial"/>
          <w:b/>
          <w:sz w:val="24"/>
          <w:szCs w:val="24"/>
        </w:rPr>
        <w:t xml:space="preserve">Departmental </w:t>
      </w:r>
      <w:r w:rsidR="00772FC9" w:rsidRPr="00C8445F">
        <w:rPr>
          <w:rFonts w:ascii="Arial" w:hAnsi="Arial" w:cs="Arial"/>
          <w:b/>
          <w:sz w:val="24"/>
          <w:szCs w:val="24"/>
        </w:rPr>
        <w:t>Periodic Review</w:t>
      </w:r>
      <w:r w:rsidRPr="00C8445F">
        <w:rPr>
          <w:rFonts w:ascii="Arial" w:hAnsi="Arial" w:cs="Arial"/>
          <w:b/>
          <w:sz w:val="24"/>
          <w:szCs w:val="24"/>
        </w:rPr>
        <w:t xml:space="preserve">: </w:t>
      </w:r>
      <w:r w:rsidR="00825E88" w:rsidRPr="00C8445F">
        <w:rPr>
          <w:rFonts w:ascii="Arial" w:hAnsi="Arial" w:cs="Arial"/>
          <w:b/>
          <w:sz w:val="24"/>
          <w:szCs w:val="24"/>
        </w:rPr>
        <w:t>University Expectations and Review outcomes</w:t>
      </w:r>
    </w:p>
    <w:p w14:paraId="77032E5E" w14:textId="77777777" w:rsidR="00772FC9" w:rsidRDefault="00772FC9" w:rsidP="00772FC9">
      <w:pPr>
        <w:spacing w:after="0" w:line="240" w:lineRule="auto"/>
        <w:rPr>
          <w:rFonts w:ascii="Arial" w:hAnsi="Arial" w:cs="Arial"/>
        </w:rPr>
      </w:pPr>
    </w:p>
    <w:p w14:paraId="5016CE8F" w14:textId="77777777" w:rsidR="00825E88" w:rsidRPr="00772FC9" w:rsidRDefault="00825E88" w:rsidP="00772FC9">
      <w:pPr>
        <w:spacing w:after="0" w:line="240" w:lineRule="auto"/>
        <w:rPr>
          <w:rFonts w:ascii="Arial" w:hAnsi="Arial" w:cs="Arial"/>
        </w:rPr>
      </w:pPr>
      <w:r w:rsidRPr="00772FC9">
        <w:rPr>
          <w:rFonts w:ascii="Arial" w:hAnsi="Arial" w:cs="Arial"/>
        </w:rPr>
        <w:t>Review panels are required to make a Judgement against each of the following University Expectations that are mapped to the strategic goals of the University Learning and Teaching Strategy.</w:t>
      </w:r>
    </w:p>
    <w:p w14:paraId="15FF36AB" w14:textId="77777777" w:rsidR="00825E88" w:rsidRPr="00D67936" w:rsidRDefault="00825E88" w:rsidP="00825E88">
      <w:pPr>
        <w:spacing w:after="0" w:line="240" w:lineRule="auto"/>
        <w:rPr>
          <w:rFonts w:ascii="Arial" w:hAnsi="Arial" w:cs="Arial"/>
        </w:rPr>
      </w:pPr>
    </w:p>
    <w:tbl>
      <w:tblPr>
        <w:tblStyle w:val="TableGrid"/>
        <w:tblW w:w="9209" w:type="dxa"/>
        <w:tblLook w:val="04A0" w:firstRow="1" w:lastRow="0" w:firstColumn="1" w:lastColumn="0" w:noHBand="0" w:noVBand="1"/>
      </w:tblPr>
      <w:tblGrid>
        <w:gridCol w:w="767"/>
        <w:gridCol w:w="8442"/>
      </w:tblGrid>
      <w:tr w:rsidR="00C10A39" w:rsidRPr="00C10A39" w14:paraId="52628392" w14:textId="77777777" w:rsidTr="00D64A64">
        <w:tc>
          <w:tcPr>
            <w:tcW w:w="767" w:type="dxa"/>
          </w:tcPr>
          <w:p w14:paraId="011A08C6" w14:textId="77777777" w:rsidR="00C10A39" w:rsidRPr="00C10A39" w:rsidRDefault="00C10A39" w:rsidP="00D64A64">
            <w:pPr>
              <w:rPr>
                <w:rFonts w:ascii="Arial" w:hAnsi="Arial" w:cs="Arial"/>
              </w:rPr>
            </w:pPr>
            <w:bookmarkStart w:id="0" w:name="_Hlk74234144"/>
            <w:r w:rsidRPr="00C10A39">
              <w:rPr>
                <w:rFonts w:ascii="Arial" w:hAnsi="Arial" w:cs="Arial"/>
              </w:rPr>
              <w:t>UE1</w:t>
            </w:r>
          </w:p>
        </w:tc>
        <w:tc>
          <w:tcPr>
            <w:tcW w:w="8442" w:type="dxa"/>
          </w:tcPr>
          <w:p w14:paraId="5ECF55B7" w14:textId="77777777" w:rsidR="00C10A39" w:rsidRPr="00C10A39" w:rsidRDefault="00C10A39" w:rsidP="00D64A64">
            <w:pPr>
              <w:rPr>
                <w:rFonts w:ascii="Arial" w:hAnsi="Arial" w:cs="Arial"/>
              </w:rPr>
            </w:pPr>
            <w:r w:rsidRPr="00C10A39">
              <w:rPr>
                <w:rFonts w:ascii="Arial" w:hAnsi="Arial" w:cs="Arial"/>
                <w:b/>
                <w:bCs/>
              </w:rPr>
              <w:t>Recruitment &amp; Demand</w:t>
            </w:r>
          </w:p>
          <w:p w14:paraId="531839C1" w14:textId="77777777" w:rsidR="00C10A39" w:rsidRPr="00C10A39" w:rsidRDefault="00C10A39" w:rsidP="00C10A39">
            <w:pPr>
              <w:pStyle w:val="ListParagraph"/>
              <w:numPr>
                <w:ilvl w:val="0"/>
                <w:numId w:val="11"/>
              </w:numPr>
              <w:ind w:left="417"/>
              <w:rPr>
                <w:rFonts w:ascii="Arial" w:hAnsi="Arial" w:cs="Arial"/>
              </w:rPr>
            </w:pPr>
            <w:r w:rsidRPr="00C10A39">
              <w:rPr>
                <w:rFonts w:ascii="Arial" w:hAnsi="Arial" w:cs="Arial"/>
              </w:rPr>
              <w:t>There are sustainable markets for the Department’s courses</w:t>
            </w:r>
          </w:p>
          <w:p w14:paraId="636C721C" w14:textId="77777777" w:rsidR="00C10A39" w:rsidRPr="00C10A39" w:rsidRDefault="00C10A39" w:rsidP="00C10A39">
            <w:pPr>
              <w:pStyle w:val="ListParagraph"/>
              <w:numPr>
                <w:ilvl w:val="0"/>
                <w:numId w:val="11"/>
              </w:numPr>
              <w:ind w:left="417"/>
              <w:rPr>
                <w:rFonts w:ascii="Arial" w:hAnsi="Arial" w:cs="Arial"/>
              </w:rPr>
            </w:pPr>
            <w:r w:rsidRPr="00C10A39">
              <w:rPr>
                <w:rFonts w:ascii="Arial" w:hAnsi="Arial" w:cs="Arial"/>
              </w:rPr>
              <w:t>The Courses recruit suitably qualified students from diverse educational and social backgrounds</w:t>
            </w:r>
          </w:p>
        </w:tc>
      </w:tr>
      <w:tr w:rsidR="00C10A39" w:rsidRPr="00C10A39" w14:paraId="39CA21F0" w14:textId="77777777" w:rsidTr="00D64A64">
        <w:tc>
          <w:tcPr>
            <w:tcW w:w="767" w:type="dxa"/>
          </w:tcPr>
          <w:p w14:paraId="285E6B5B" w14:textId="77777777" w:rsidR="00C10A39" w:rsidRPr="00C10A39" w:rsidRDefault="00C10A39" w:rsidP="00D64A64">
            <w:pPr>
              <w:rPr>
                <w:rFonts w:ascii="Arial" w:hAnsi="Arial" w:cs="Arial"/>
              </w:rPr>
            </w:pPr>
            <w:r w:rsidRPr="00C10A39">
              <w:rPr>
                <w:rFonts w:ascii="Arial" w:hAnsi="Arial" w:cs="Arial"/>
              </w:rPr>
              <w:t>UE2</w:t>
            </w:r>
          </w:p>
        </w:tc>
        <w:tc>
          <w:tcPr>
            <w:tcW w:w="8442" w:type="dxa"/>
          </w:tcPr>
          <w:p w14:paraId="49494A70" w14:textId="77777777" w:rsidR="00C10A39" w:rsidRPr="00C10A39" w:rsidRDefault="00C10A39" w:rsidP="00D64A64">
            <w:pPr>
              <w:rPr>
                <w:rFonts w:ascii="Arial" w:hAnsi="Arial" w:cs="Arial"/>
              </w:rPr>
            </w:pPr>
            <w:r w:rsidRPr="00C10A39">
              <w:rPr>
                <w:rFonts w:ascii="Arial" w:hAnsi="Arial" w:cs="Arial"/>
                <w:b/>
                <w:bCs/>
              </w:rPr>
              <w:t>Access &amp; Inclusion</w:t>
            </w:r>
          </w:p>
          <w:p w14:paraId="1BB9965D" w14:textId="77777777" w:rsidR="00C10A39" w:rsidRPr="00C10A39" w:rsidRDefault="00C10A39" w:rsidP="00D64A64">
            <w:pPr>
              <w:rPr>
                <w:rFonts w:ascii="Arial" w:hAnsi="Arial" w:cs="Arial"/>
              </w:rPr>
            </w:pPr>
            <w:r w:rsidRPr="00C10A39">
              <w:rPr>
                <w:rFonts w:ascii="Arial" w:hAnsi="Arial" w:cs="Arial"/>
              </w:rPr>
              <w:t>The Department demonstrates active implementation of commitments to widening access, inclusion and participation in higher education practice and effectively monitors and addresses differential student outcomes gaps.</w:t>
            </w:r>
          </w:p>
        </w:tc>
      </w:tr>
      <w:tr w:rsidR="00C10A39" w:rsidRPr="00C10A39" w14:paraId="780F2E0F" w14:textId="77777777" w:rsidTr="00D64A64">
        <w:tc>
          <w:tcPr>
            <w:tcW w:w="767" w:type="dxa"/>
          </w:tcPr>
          <w:p w14:paraId="1A84B7DA" w14:textId="77777777" w:rsidR="00C10A39" w:rsidRPr="00C10A39" w:rsidRDefault="00C10A39" w:rsidP="00D64A64">
            <w:pPr>
              <w:rPr>
                <w:rFonts w:ascii="Arial" w:hAnsi="Arial" w:cs="Arial"/>
              </w:rPr>
            </w:pPr>
            <w:r w:rsidRPr="00C10A39">
              <w:rPr>
                <w:rFonts w:ascii="Arial" w:hAnsi="Arial" w:cs="Arial"/>
              </w:rPr>
              <w:t>UE3</w:t>
            </w:r>
          </w:p>
        </w:tc>
        <w:tc>
          <w:tcPr>
            <w:tcW w:w="8442" w:type="dxa"/>
          </w:tcPr>
          <w:p w14:paraId="708DDA7E" w14:textId="77777777" w:rsidR="00C10A39" w:rsidRPr="00C10A39" w:rsidRDefault="00C10A39" w:rsidP="00D64A64">
            <w:pPr>
              <w:rPr>
                <w:rFonts w:ascii="Arial" w:hAnsi="Arial" w:cs="Arial"/>
                <w:b/>
                <w:bCs/>
              </w:rPr>
            </w:pPr>
            <w:r w:rsidRPr="00C10A39">
              <w:rPr>
                <w:rFonts w:ascii="Arial" w:hAnsi="Arial" w:cs="Arial"/>
                <w:b/>
                <w:bCs/>
              </w:rPr>
              <w:t>Education for Sustainable Futures</w:t>
            </w:r>
          </w:p>
          <w:p w14:paraId="0D040BBD" w14:textId="77777777" w:rsidR="00C10A39" w:rsidRPr="00C10A39" w:rsidRDefault="00C10A39" w:rsidP="00C10A39">
            <w:pPr>
              <w:pStyle w:val="ListParagraph"/>
              <w:numPr>
                <w:ilvl w:val="0"/>
                <w:numId w:val="18"/>
              </w:numPr>
              <w:rPr>
                <w:rFonts w:ascii="Arial" w:hAnsi="Arial" w:cs="Arial"/>
                <w:bCs/>
              </w:rPr>
            </w:pPr>
            <w:r w:rsidRPr="00C10A39">
              <w:rPr>
                <w:rFonts w:ascii="Arial" w:hAnsi="Arial" w:cs="Arial"/>
              </w:rPr>
              <w:t xml:space="preserve">The courses are well designed and align with the University values for </w:t>
            </w:r>
            <w:r w:rsidRPr="00C10A39">
              <w:rPr>
                <w:rFonts w:ascii="Arial" w:hAnsi="Arial" w:cs="Arial"/>
                <w:bCs/>
              </w:rPr>
              <w:t>inclusion, internationalisation, ethical and socially responsible global citizenship</w:t>
            </w:r>
          </w:p>
          <w:p w14:paraId="6F42FDCA" w14:textId="77777777" w:rsidR="00C10A39" w:rsidRPr="00C10A39" w:rsidRDefault="00C10A39" w:rsidP="00C10A39">
            <w:pPr>
              <w:pStyle w:val="ListParagraph"/>
              <w:numPr>
                <w:ilvl w:val="0"/>
                <w:numId w:val="18"/>
              </w:numPr>
              <w:rPr>
                <w:rFonts w:ascii="Arial" w:hAnsi="Arial" w:cs="Arial"/>
              </w:rPr>
            </w:pPr>
            <w:r w:rsidRPr="00C10A39">
              <w:rPr>
                <w:rFonts w:ascii="Arial" w:hAnsi="Arial" w:cs="Arial"/>
                <w:bCs/>
              </w:rPr>
              <w:t>Courses have (or are in the process of) embedding the University graduate attributes</w:t>
            </w:r>
          </w:p>
        </w:tc>
      </w:tr>
      <w:tr w:rsidR="00C10A39" w:rsidRPr="00C10A39" w14:paraId="11B8C547" w14:textId="77777777" w:rsidTr="00D64A64">
        <w:tc>
          <w:tcPr>
            <w:tcW w:w="767" w:type="dxa"/>
          </w:tcPr>
          <w:p w14:paraId="7966E311" w14:textId="77777777" w:rsidR="00C10A39" w:rsidRPr="00C10A39" w:rsidRDefault="00C10A39" w:rsidP="00D64A64">
            <w:pPr>
              <w:rPr>
                <w:rFonts w:ascii="Arial" w:hAnsi="Arial" w:cs="Arial"/>
              </w:rPr>
            </w:pPr>
            <w:r w:rsidRPr="00C10A39">
              <w:rPr>
                <w:rFonts w:ascii="Arial" w:hAnsi="Arial" w:cs="Arial"/>
              </w:rPr>
              <w:t>UE4</w:t>
            </w:r>
          </w:p>
        </w:tc>
        <w:tc>
          <w:tcPr>
            <w:tcW w:w="8442" w:type="dxa"/>
          </w:tcPr>
          <w:p w14:paraId="7B21F97C" w14:textId="77777777" w:rsidR="00C10A39" w:rsidRPr="00C10A39" w:rsidRDefault="00C10A39" w:rsidP="00D64A64">
            <w:pPr>
              <w:rPr>
                <w:rFonts w:ascii="Arial" w:hAnsi="Arial" w:cs="Arial"/>
                <w:b/>
                <w:bCs/>
              </w:rPr>
            </w:pPr>
            <w:r w:rsidRPr="00C10A39">
              <w:rPr>
                <w:rFonts w:ascii="Arial" w:hAnsi="Arial" w:cs="Arial"/>
                <w:b/>
                <w:bCs/>
              </w:rPr>
              <w:t>Applied and Research Inspired Education</w:t>
            </w:r>
          </w:p>
          <w:p w14:paraId="616D030E" w14:textId="77777777" w:rsidR="00C10A39" w:rsidRPr="00C10A39" w:rsidRDefault="00C10A39" w:rsidP="00C10A39">
            <w:pPr>
              <w:pStyle w:val="ListParagraph"/>
              <w:numPr>
                <w:ilvl w:val="0"/>
                <w:numId w:val="12"/>
              </w:numPr>
              <w:ind w:left="360"/>
              <w:rPr>
                <w:rFonts w:ascii="Arial" w:hAnsi="Arial" w:cs="Arial"/>
              </w:rPr>
            </w:pPr>
            <w:r w:rsidRPr="00C10A39">
              <w:rPr>
                <w:rFonts w:ascii="Arial" w:hAnsi="Arial" w:cs="Arial"/>
              </w:rPr>
              <w:t xml:space="preserve">Learning and Teaching is research inspired </w:t>
            </w:r>
          </w:p>
          <w:p w14:paraId="2E1B176A" w14:textId="77777777" w:rsidR="00C10A39" w:rsidRPr="00C10A39" w:rsidRDefault="00C10A39" w:rsidP="00C10A39">
            <w:pPr>
              <w:pStyle w:val="ListParagraph"/>
              <w:numPr>
                <w:ilvl w:val="0"/>
                <w:numId w:val="12"/>
              </w:numPr>
              <w:ind w:left="360"/>
              <w:rPr>
                <w:rFonts w:ascii="Arial" w:hAnsi="Arial" w:cs="Arial"/>
              </w:rPr>
            </w:pPr>
            <w:r w:rsidRPr="00C10A39">
              <w:rPr>
                <w:rFonts w:ascii="Arial" w:hAnsi="Arial" w:cs="Arial"/>
              </w:rPr>
              <w:t xml:space="preserve">Curricula provide opportunities for students to engage with research processes and professional enquiry </w:t>
            </w:r>
          </w:p>
          <w:p w14:paraId="605E037D" w14:textId="4BB67D7A" w:rsidR="00C10A39" w:rsidRPr="00C10A39" w:rsidRDefault="00C10A39" w:rsidP="00C10A39">
            <w:pPr>
              <w:pStyle w:val="ListParagraph"/>
              <w:numPr>
                <w:ilvl w:val="0"/>
                <w:numId w:val="12"/>
              </w:numPr>
              <w:ind w:left="360"/>
              <w:rPr>
                <w:rFonts w:ascii="Arial" w:hAnsi="Arial" w:cs="Arial"/>
              </w:rPr>
            </w:pPr>
            <w:r w:rsidRPr="00C10A39">
              <w:rPr>
                <w:rFonts w:ascii="Arial" w:hAnsi="Arial" w:cs="Arial"/>
              </w:rPr>
              <w:t xml:space="preserve">The Department demonstrates commitment to staff development and professional recognition, and extending its </w:t>
            </w:r>
            <w:r w:rsidRPr="00C10A39">
              <w:rPr>
                <w:rFonts w:ascii="Arial" w:hAnsi="Arial" w:cs="Arial"/>
                <w:bCs/>
              </w:rPr>
              <w:t>external profile for excellence in learning and teaching</w:t>
            </w:r>
          </w:p>
        </w:tc>
      </w:tr>
      <w:tr w:rsidR="00C10A39" w:rsidRPr="00C10A39" w14:paraId="33428C10" w14:textId="77777777" w:rsidTr="00D64A64">
        <w:tc>
          <w:tcPr>
            <w:tcW w:w="767" w:type="dxa"/>
          </w:tcPr>
          <w:p w14:paraId="7874F9B9" w14:textId="77777777" w:rsidR="00C10A39" w:rsidRPr="00C10A39" w:rsidRDefault="00C10A39" w:rsidP="00D64A64">
            <w:pPr>
              <w:rPr>
                <w:rFonts w:ascii="Arial" w:hAnsi="Arial" w:cs="Arial"/>
              </w:rPr>
            </w:pPr>
            <w:r w:rsidRPr="00C10A39">
              <w:rPr>
                <w:rFonts w:ascii="Arial" w:hAnsi="Arial" w:cs="Arial"/>
              </w:rPr>
              <w:t>UE5</w:t>
            </w:r>
          </w:p>
        </w:tc>
        <w:tc>
          <w:tcPr>
            <w:tcW w:w="8442" w:type="dxa"/>
          </w:tcPr>
          <w:p w14:paraId="3A9D329B" w14:textId="77777777" w:rsidR="00C10A39" w:rsidRPr="00C10A39" w:rsidRDefault="00C10A39" w:rsidP="00D64A64">
            <w:pPr>
              <w:rPr>
                <w:rFonts w:ascii="Arial" w:hAnsi="Arial" w:cs="Arial"/>
              </w:rPr>
            </w:pPr>
            <w:r w:rsidRPr="00C10A39">
              <w:rPr>
                <w:rFonts w:ascii="Arial" w:hAnsi="Arial" w:cs="Arial"/>
                <w:b/>
                <w:bCs/>
              </w:rPr>
              <w:t>Assessment</w:t>
            </w:r>
          </w:p>
          <w:p w14:paraId="3BAB3CA6" w14:textId="77777777" w:rsidR="00C10A39" w:rsidRPr="00C10A39" w:rsidRDefault="00C10A39" w:rsidP="00D64A64">
            <w:pPr>
              <w:rPr>
                <w:rFonts w:ascii="Arial" w:hAnsi="Arial" w:cs="Arial"/>
              </w:rPr>
            </w:pPr>
            <w:r w:rsidRPr="00C10A39">
              <w:rPr>
                <w:rFonts w:ascii="Arial" w:hAnsi="Arial" w:cs="Arial"/>
              </w:rPr>
              <w:t xml:space="preserve">Assessment outcomes for all students are strong (or issues are being addressed) and underpinned by effective assessment, feedback, standardisation and moderation processes </w:t>
            </w:r>
          </w:p>
        </w:tc>
      </w:tr>
      <w:tr w:rsidR="00C10A39" w:rsidRPr="00C10A39" w14:paraId="1629F6DF" w14:textId="77777777" w:rsidTr="00D64A64">
        <w:tc>
          <w:tcPr>
            <w:tcW w:w="767" w:type="dxa"/>
          </w:tcPr>
          <w:p w14:paraId="1B0420E6" w14:textId="77777777" w:rsidR="00C10A39" w:rsidRPr="00C10A39" w:rsidRDefault="00C10A39" w:rsidP="00D64A64">
            <w:pPr>
              <w:rPr>
                <w:rFonts w:ascii="Arial" w:hAnsi="Arial" w:cs="Arial"/>
              </w:rPr>
            </w:pPr>
            <w:r w:rsidRPr="00C10A39">
              <w:rPr>
                <w:rFonts w:ascii="Arial" w:hAnsi="Arial" w:cs="Arial"/>
              </w:rPr>
              <w:t>UE6</w:t>
            </w:r>
          </w:p>
        </w:tc>
        <w:tc>
          <w:tcPr>
            <w:tcW w:w="8442" w:type="dxa"/>
          </w:tcPr>
          <w:p w14:paraId="086EDE4A" w14:textId="77777777" w:rsidR="00C10A39" w:rsidRPr="00C10A39" w:rsidRDefault="00C10A39" w:rsidP="00D64A64">
            <w:pPr>
              <w:rPr>
                <w:rFonts w:ascii="Arial" w:hAnsi="Arial" w:cs="Arial"/>
              </w:rPr>
            </w:pPr>
            <w:r w:rsidRPr="00C10A39">
              <w:rPr>
                <w:rFonts w:ascii="Arial" w:hAnsi="Arial" w:cs="Arial"/>
                <w:b/>
                <w:bCs/>
              </w:rPr>
              <w:t>Academic Support</w:t>
            </w:r>
          </w:p>
          <w:p w14:paraId="20528258" w14:textId="77777777" w:rsidR="00C10A39" w:rsidRPr="00C10A39" w:rsidRDefault="00C10A39" w:rsidP="00C10A39">
            <w:pPr>
              <w:pStyle w:val="ListParagraph"/>
              <w:numPr>
                <w:ilvl w:val="0"/>
                <w:numId w:val="14"/>
              </w:numPr>
              <w:ind w:left="360"/>
              <w:rPr>
                <w:rFonts w:ascii="Arial" w:hAnsi="Arial" w:cs="Arial"/>
              </w:rPr>
            </w:pPr>
            <w:r w:rsidRPr="00C10A39">
              <w:rPr>
                <w:rFonts w:ascii="Arial" w:hAnsi="Arial" w:cs="Arial"/>
              </w:rPr>
              <w:t>There are effective arrangements for academic support, including for personal academic tutoring, induction, supporting student module choice and monitoring student engagement/attendance</w:t>
            </w:r>
          </w:p>
          <w:p w14:paraId="185F2C0F" w14:textId="77777777" w:rsidR="00C10A39" w:rsidRPr="00C10A39" w:rsidRDefault="00C10A39" w:rsidP="00C10A39">
            <w:pPr>
              <w:pStyle w:val="ListParagraph"/>
              <w:numPr>
                <w:ilvl w:val="0"/>
                <w:numId w:val="14"/>
              </w:numPr>
              <w:ind w:left="360"/>
              <w:rPr>
                <w:rFonts w:ascii="Arial" w:hAnsi="Arial" w:cs="Arial"/>
              </w:rPr>
            </w:pPr>
            <w:r w:rsidRPr="00C10A39">
              <w:rPr>
                <w:rFonts w:ascii="Arial" w:hAnsi="Arial" w:cs="Arial"/>
              </w:rPr>
              <w:t>Student retention, progression and completion is strong</w:t>
            </w:r>
          </w:p>
        </w:tc>
      </w:tr>
      <w:tr w:rsidR="00C10A39" w:rsidRPr="00C10A39" w14:paraId="3A11E693" w14:textId="77777777" w:rsidTr="00D64A64">
        <w:tc>
          <w:tcPr>
            <w:tcW w:w="767" w:type="dxa"/>
          </w:tcPr>
          <w:p w14:paraId="62F07E0F" w14:textId="77777777" w:rsidR="00C10A39" w:rsidRPr="00C10A39" w:rsidRDefault="00C10A39" w:rsidP="00D64A64">
            <w:pPr>
              <w:rPr>
                <w:rFonts w:ascii="Arial" w:hAnsi="Arial" w:cs="Arial"/>
              </w:rPr>
            </w:pPr>
            <w:r w:rsidRPr="00C10A39">
              <w:rPr>
                <w:rFonts w:ascii="Arial" w:hAnsi="Arial" w:cs="Arial"/>
              </w:rPr>
              <w:t>UE7</w:t>
            </w:r>
          </w:p>
        </w:tc>
        <w:tc>
          <w:tcPr>
            <w:tcW w:w="8442" w:type="dxa"/>
          </w:tcPr>
          <w:p w14:paraId="3F20F65E" w14:textId="77777777" w:rsidR="00C10A39" w:rsidRPr="00C10A39" w:rsidRDefault="00C10A39" w:rsidP="00D64A64">
            <w:pPr>
              <w:rPr>
                <w:rFonts w:ascii="Arial" w:hAnsi="Arial" w:cs="Arial"/>
                <w:b/>
              </w:rPr>
            </w:pPr>
            <w:r w:rsidRPr="00C10A39">
              <w:rPr>
                <w:rFonts w:ascii="Arial" w:hAnsi="Arial" w:cs="Arial"/>
                <w:b/>
              </w:rPr>
              <w:t xml:space="preserve">Student Voice and Engagement </w:t>
            </w:r>
          </w:p>
          <w:p w14:paraId="6E9843B8" w14:textId="77777777" w:rsidR="00C10A39" w:rsidRPr="00C10A39" w:rsidRDefault="00C10A39" w:rsidP="00C10A39">
            <w:pPr>
              <w:pStyle w:val="ListParagraph"/>
              <w:numPr>
                <w:ilvl w:val="0"/>
                <w:numId w:val="16"/>
              </w:numPr>
              <w:ind w:left="360"/>
              <w:rPr>
                <w:rFonts w:ascii="Arial" w:hAnsi="Arial" w:cs="Arial"/>
              </w:rPr>
            </w:pPr>
            <w:r w:rsidRPr="00C10A39">
              <w:rPr>
                <w:rFonts w:ascii="Arial" w:hAnsi="Arial" w:cs="Arial"/>
              </w:rPr>
              <w:t>The Department demonstrates a commitment to working in partnership with students, with genuine involvement of students in quality management and enhancement</w:t>
            </w:r>
          </w:p>
          <w:p w14:paraId="626AE64C" w14:textId="77777777" w:rsidR="00C10A39" w:rsidRPr="00C10A39" w:rsidRDefault="00C10A39" w:rsidP="00C10A39">
            <w:pPr>
              <w:pStyle w:val="ListParagraph"/>
              <w:numPr>
                <w:ilvl w:val="0"/>
                <w:numId w:val="16"/>
              </w:numPr>
              <w:ind w:left="360"/>
              <w:rPr>
                <w:rFonts w:ascii="Arial" w:hAnsi="Arial" w:cs="Arial"/>
              </w:rPr>
            </w:pPr>
            <w:r w:rsidRPr="00C10A39">
              <w:rPr>
                <w:rFonts w:ascii="Arial" w:hAnsi="Arial" w:cs="Arial"/>
              </w:rPr>
              <w:t>Students have a high degree of satisfaction with their courses and measures of student engagement are strong.</w:t>
            </w:r>
          </w:p>
        </w:tc>
      </w:tr>
      <w:tr w:rsidR="00C10A39" w:rsidRPr="00C10A39" w14:paraId="2EF40E64" w14:textId="77777777" w:rsidTr="00D64A64">
        <w:tc>
          <w:tcPr>
            <w:tcW w:w="767" w:type="dxa"/>
          </w:tcPr>
          <w:p w14:paraId="5BC75DA2" w14:textId="77777777" w:rsidR="00C10A39" w:rsidRPr="00C10A39" w:rsidRDefault="00C10A39" w:rsidP="00D64A64">
            <w:pPr>
              <w:rPr>
                <w:rFonts w:ascii="Arial" w:hAnsi="Arial" w:cs="Arial"/>
              </w:rPr>
            </w:pPr>
            <w:r w:rsidRPr="00C10A39">
              <w:rPr>
                <w:rFonts w:ascii="Arial" w:hAnsi="Arial" w:cs="Arial"/>
              </w:rPr>
              <w:t>UE8</w:t>
            </w:r>
          </w:p>
        </w:tc>
        <w:tc>
          <w:tcPr>
            <w:tcW w:w="8442" w:type="dxa"/>
          </w:tcPr>
          <w:p w14:paraId="0A5FED97" w14:textId="77777777" w:rsidR="00C10A39" w:rsidRPr="00C10A39" w:rsidRDefault="00C10A39" w:rsidP="00D64A64">
            <w:pPr>
              <w:rPr>
                <w:rFonts w:ascii="Arial" w:hAnsi="Arial" w:cs="Arial"/>
                <w:b/>
              </w:rPr>
            </w:pPr>
            <w:r w:rsidRPr="00C10A39">
              <w:rPr>
                <w:rFonts w:ascii="Arial" w:hAnsi="Arial" w:cs="Arial"/>
                <w:b/>
                <w:bCs/>
              </w:rPr>
              <w:t xml:space="preserve">Employability and </w:t>
            </w:r>
            <w:r w:rsidRPr="00C10A39">
              <w:rPr>
                <w:rFonts w:ascii="Arial" w:hAnsi="Arial" w:cs="Arial"/>
                <w:b/>
              </w:rPr>
              <w:t>Work-based learning</w:t>
            </w:r>
          </w:p>
          <w:p w14:paraId="1D2A7640" w14:textId="77777777" w:rsidR="00C10A39" w:rsidRPr="00C10A39" w:rsidRDefault="00C10A39" w:rsidP="00C10A39">
            <w:pPr>
              <w:pStyle w:val="ListParagraph"/>
              <w:numPr>
                <w:ilvl w:val="0"/>
                <w:numId w:val="15"/>
              </w:numPr>
              <w:ind w:left="360"/>
              <w:rPr>
                <w:rFonts w:ascii="Arial" w:hAnsi="Arial" w:cs="Arial"/>
              </w:rPr>
            </w:pPr>
            <w:r w:rsidRPr="00C10A39">
              <w:rPr>
                <w:rFonts w:ascii="Arial" w:hAnsi="Arial" w:cs="Arial"/>
              </w:rPr>
              <w:t>Graduate employment outcomes (progression to highly skilled employment or further study) are strong and underpinned by clear approaches at course level to developing student employability and the provision of careers education, information, advice and guidance</w:t>
            </w:r>
          </w:p>
          <w:p w14:paraId="0107382A" w14:textId="77777777" w:rsidR="00C10A39" w:rsidRPr="00C10A39" w:rsidRDefault="00C10A39" w:rsidP="00C10A39">
            <w:pPr>
              <w:pStyle w:val="ListParagraph"/>
              <w:numPr>
                <w:ilvl w:val="0"/>
                <w:numId w:val="15"/>
              </w:numPr>
              <w:ind w:left="360"/>
              <w:rPr>
                <w:rFonts w:ascii="Arial" w:hAnsi="Arial" w:cs="Arial"/>
                <w:bCs/>
              </w:rPr>
            </w:pPr>
            <w:r w:rsidRPr="00C10A39">
              <w:rPr>
                <w:rFonts w:ascii="Arial" w:hAnsi="Arial" w:cs="Arial"/>
              </w:rPr>
              <w:t xml:space="preserve">The Department engages with external </w:t>
            </w:r>
            <w:r w:rsidRPr="00C10A39">
              <w:rPr>
                <w:rFonts w:ascii="Arial" w:hAnsi="Arial" w:cs="Arial"/>
                <w:bCs/>
              </w:rPr>
              <w:t>communities and employers</w:t>
            </w:r>
          </w:p>
          <w:p w14:paraId="0D025E9B" w14:textId="77777777" w:rsidR="00C10A39" w:rsidRPr="00C10A39" w:rsidRDefault="00C10A39" w:rsidP="00C10A39">
            <w:pPr>
              <w:pStyle w:val="ListParagraph"/>
              <w:numPr>
                <w:ilvl w:val="0"/>
                <w:numId w:val="15"/>
              </w:numPr>
              <w:ind w:left="360"/>
              <w:rPr>
                <w:rFonts w:ascii="Arial" w:hAnsi="Arial" w:cs="Arial"/>
              </w:rPr>
            </w:pPr>
            <w:r w:rsidRPr="00C10A39">
              <w:rPr>
                <w:rFonts w:ascii="Arial" w:hAnsi="Arial" w:cs="Arial"/>
              </w:rPr>
              <w:lastRenderedPageBreak/>
              <w:t xml:space="preserve">Students have the opportunity to apply their learning through collaboration </w:t>
            </w:r>
            <w:r w:rsidRPr="00C10A39">
              <w:rPr>
                <w:rFonts w:ascii="Arial" w:hAnsi="Arial" w:cs="Arial"/>
                <w:bCs/>
              </w:rPr>
              <w:t>with employers and/or community organisations</w:t>
            </w:r>
          </w:p>
        </w:tc>
      </w:tr>
      <w:tr w:rsidR="00C10A39" w:rsidRPr="00C10A39" w14:paraId="634968E8" w14:textId="77777777" w:rsidTr="00D64A64">
        <w:tc>
          <w:tcPr>
            <w:tcW w:w="767" w:type="dxa"/>
          </w:tcPr>
          <w:p w14:paraId="63D8EC81" w14:textId="77777777" w:rsidR="00C10A39" w:rsidRPr="00C10A39" w:rsidRDefault="00C10A39" w:rsidP="00D64A64">
            <w:pPr>
              <w:rPr>
                <w:rFonts w:ascii="Arial" w:hAnsi="Arial" w:cs="Arial"/>
              </w:rPr>
            </w:pPr>
            <w:r w:rsidRPr="00C10A39">
              <w:rPr>
                <w:rFonts w:ascii="Arial" w:hAnsi="Arial" w:cs="Arial"/>
              </w:rPr>
              <w:lastRenderedPageBreak/>
              <w:t>UE9</w:t>
            </w:r>
          </w:p>
        </w:tc>
        <w:tc>
          <w:tcPr>
            <w:tcW w:w="8442" w:type="dxa"/>
          </w:tcPr>
          <w:p w14:paraId="13F5EEB7" w14:textId="77777777" w:rsidR="00C10A39" w:rsidRPr="00C10A39" w:rsidRDefault="00C10A39" w:rsidP="00D64A64">
            <w:pPr>
              <w:rPr>
                <w:rFonts w:ascii="Arial" w:hAnsi="Arial" w:cs="Arial"/>
              </w:rPr>
            </w:pPr>
            <w:r w:rsidRPr="00C10A39">
              <w:rPr>
                <w:rFonts w:ascii="Arial" w:hAnsi="Arial" w:cs="Arial"/>
                <w:b/>
                <w:bCs/>
              </w:rPr>
              <w:t>Active Flexible Learning</w:t>
            </w:r>
          </w:p>
          <w:p w14:paraId="5CD3962E" w14:textId="77777777" w:rsidR="00C10A39" w:rsidRPr="00C10A39" w:rsidRDefault="00C10A39" w:rsidP="00C10A39">
            <w:pPr>
              <w:pStyle w:val="ListParagraph"/>
              <w:numPr>
                <w:ilvl w:val="0"/>
                <w:numId w:val="13"/>
              </w:numPr>
              <w:ind w:left="360"/>
              <w:rPr>
                <w:rFonts w:ascii="Arial" w:hAnsi="Arial" w:cs="Arial"/>
              </w:rPr>
            </w:pPr>
            <w:r w:rsidRPr="00C10A39">
              <w:rPr>
                <w:rFonts w:ascii="Arial" w:hAnsi="Arial" w:cs="Arial"/>
              </w:rPr>
              <w:t>There is effective use of learning technologies for active flexible and accessible learning.</w:t>
            </w:r>
          </w:p>
          <w:p w14:paraId="3C35494A" w14:textId="77777777" w:rsidR="00C10A39" w:rsidRPr="00C10A39" w:rsidRDefault="00C10A39" w:rsidP="00C10A39">
            <w:pPr>
              <w:pStyle w:val="ListParagraph"/>
              <w:numPr>
                <w:ilvl w:val="0"/>
                <w:numId w:val="13"/>
              </w:numPr>
              <w:ind w:left="360"/>
              <w:rPr>
                <w:rFonts w:ascii="Arial" w:hAnsi="Arial" w:cs="Arial"/>
              </w:rPr>
            </w:pPr>
            <w:r w:rsidRPr="00C10A39">
              <w:rPr>
                <w:rFonts w:ascii="Arial" w:hAnsi="Arial" w:cs="Arial"/>
              </w:rPr>
              <w:t>Staff and student have well developed digital capabilities</w:t>
            </w:r>
          </w:p>
        </w:tc>
      </w:tr>
      <w:tr w:rsidR="00C10A39" w:rsidRPr="00C10A39" w14:paraId="3BDAFDA3" w14:textId="77777777" w:rsidTr="00D64A64">
        <w:tc>
          <w:tcPr>
            <w:tcW w:w="767" w:type="dxa"/>
          </w:tcPr>
          <w:p w14:paraId="124A81FF" w14:textId="77777777" w:rsidR="00C10A39" w:rsidRPr="00C10A39" w:rsidRDefault="00C10A39" w:rsidP="00D64A64">
            <w:pPr>
              <w:rPr>
                <w:rFonts w:ascii="Arial" w:hAnsi="Arial" w:cs="Arial"/>
              </w:rPr>
            </w:pPr>
            <w:r w:rsidRPr="00C10A39">
              <w:rPr>
                <w:rFonts w:ascii="Arial" w:hAnsi="Arial" w:cs="Arial"/>
              </w:rPr>
              <w:t>UE10</w:t>
            </w:r>
          </w:p>
        </w:tc>
        <w:tc>
          <w:tcPr>
            <w:tcW w:w="8442" w:type="dxa"/>
          </w:tcPr>
          <w:p w14:paraId="4F69D4D3" w14:textId="77777777" w:rsidR="00C10A39" w:rsidRPr="00C10A39" w:rsidRDefault="00C10A39" w:rsidP="00D64A64">
            <w:pPr>
              <w:rPr>
                <w:rFonts w:ascii="Arial" w:hAnsi="Arial" w:cs="Arial"/>
              </w:rPr>
            </w:pPr>
            <w:r w:rsidRPr="00C10A39">
              <w:rPr>
                <w:rFonts w:ascii="Arial" w:hAnsi="Arial" w:cs="Arial"/>
                <w:b/>
                <w:bCs/>
              </w:rPr>
              <w:t>Resources</w:t>
            </w:r>
          </w:p>
          <w:p w14:paraId="2A167D8B" w14:textId="77777777" w:rsidR="00C10A39" w:rsidRPr="00C10A39" w:rsidRDefault="00C10A39" w:rsidP="00D64A64">
            <w:pPr>
              <w:pStyle w:val="Default"/>
              <w:rPr>
                <w:sz w:val="22"/>
                <w:szCs w:val="22"/>
              </w:rPr>
            </w:pPr>
            <w:r w:rsidRPr="00C10A39">
              <w:rPr>
                <w:sz w:val="22"/>
                <w:szCs w:val="22"/>
              </w:rPr>
              <w:t xml:space="preserve">There are sufficient and appropriate resources, including staff and learning resources, specialist facilities and equipment to underpin the curriculum and permit all students to achieve learning outcomes. </w:t>
            </w:r>
          </w:p>
        </w:tc>
      </w:tr>
      <w:tr w:rsidR="00C10A39" w:rsidRPr="00C10A39" w14:paraId="68D5666A" w14:textId="77777777" w:rsidTr="00D64A64">
        <w:tc>
          <w:tcPr>
            <w:tcW w:w="767" w:type="dxa"/>
          </w:tcPr>
          <w:p w14:paraId="5B411C45" w14:textId="77777777" w:rsidR="00C10A39" w:rsidRPr="00C10A39" w:rsidRDefault="00C10A39" w:rsidP="00D64A64">
            <w:pPr>
              <w:rPr>
                <w:rFonts w:ascii="Arial" w:hAnsi="Arial" w:cs="Arial"/>
              </w:rPr>
            </w:pPr>
            <w:r w:rsidRPr="00C10A39">
              <w:rPr>
                <w:rFonts w:ascii="Arial" w:hAnsi="Arial" w:cs="Arial"/>
              </w:rPr>
              <w:t>UE11</w:t>
            </w:r>
          </w:p>
        </w:tc>
        <w:tc>
          <w:tcPr>
            <w:tcW w:w="8442" w:type="dxa"/>
          </w:tcPr>
          <w:p w14:paraId="6BE67CE6" w14:textId="77777777" w:rsidR="00C10A39" w:rsidRPr="00C10A39" w:rsidRDefault="00C10A39" w:rsidP="00D64A64">
            <w:pPr>
              <w:rPr>
                <w:rFonts w:ascii="Arial" w:hAnsi="Arial" w:cs="Arial"/>
              </w:rPr>
            </w:pPr>
            <w:r w:rsidRPr="00C10A39">
              <w:rPr>
                <w:rFonts w:ascii="Arial" w:hAnsi="Arial" w:cs="Arial"/>
                <w:b/>
              </w:rPr>
              <w:t>Academic Partnerships</w:t>
            </w:r>
            <w:r w:rsidRPr="00C10A39">
              <w:rPr>
                <w:rFonts w:ascii="Arial" w:hAnsi="Arial" w:cs="Arial"/>
              </w:rPr>
              <w:t xml:space="preserve"> (where relevant)</w:t>
            </w:r>
          </w:p>
          <w:p w14:paraId="04526ABC" w14:textId="77777777" w:rsidR="00C10A39" w:rsidRPr="00C10A39" w:rsidRDefault="00C10A39" w:rsidP="00D64A64">
            <w:pPr>
              <w:rPr>
                <w:rFonts w:ascii="Arial" w:hAnsi="Arial" w:cs="Arial"/>
              </w:rPr>
            </w:pPr>
            <w:r w:rsidRPr="00C10A39">
              <w:rPr>
                <w:rFonts w:ascii="Arial" w:hAnsi="Arial" w:cs="Arial"/>
              </w:rPr>
              <w:t>The management of collaborative partnerships and courses is effective with appropriate attention to risk.</w:t>
            </w:r>
          </w:p>
        </w:tc>
      </w:tr>
      <w:tr w:rsidR="00C10A39" w:rsidRPr="00C10A39" w14:paraId="2AFEFE29" w14:textId="77777777" w:rsidTr="00D64A64">
        <w:tc>
          <w:tcPr>
            <w:tcW w:w="767" w:type="dxa"/>
          </w:tcPr>
          <w:p w14:paraId="5DC6F295" w14:textId="77777777" w:rsidR="00C10A39" w:rsidRPr="00C10A39" w:rsidRDefault="00C10A39" w:rsidP="00D64A64">
            <w:pPr>
              <w:rPr>
                <w:rFonts w:ascii="Arial" w:hAnsi="Arial" w:cs="Arial"/>
              </w:rPr>
            </w:pPr>
            <w:r w:rsidRPr="00C10A39">
              <w:rPr>
                <w:rFonts w:ascii="Arial" w:hAnsi="Arial" w:cs="Arial"/>
              </w:rPr>
              <w:t>UE12</w:t>
            </w:r>
          </w:p>
        </w:tc>
        <w:tc>
          <w:tcPr>
            <w:tcW w:w="8442" w:type="dxa"/>
          </w:tcPr>
          <w:p w14:paraId="3455248F" w14:textId="77777777" w:rsidR="00C10A39" w:rsidRPr="00C10A39" w:rsidRDefault="00C10A39" w:rsidP="00D64A64">
            <w:pPr>
              <w:rPr>
                <w:rFonts w:ascii="Arial" w:hAnsi="Arial" w:cs="Arial"/>
                <w:b/>
                <w:bCs/>
              </w:rPr>
            </w:pPr>
            <w:r w:rsidRPr="00C10A39">
              <w:rPr>
                <w:rFonts w:ascii="Arial" w:hAnsi="Arial" w:cs="Arial"/>
                <w:b/>
                <w:bCs/>
              </w:rPr>
              <w:t xml:space="preserve">Academic and professional standards </w:t>
            </w:r>
          </w:p>
          <w:p w14:paraId="4168410A" w14:textId="77777777" w:rsidR="00C10A39" w:rsidRPr="00C10A39" w:rsidRDefault="00C10A39" w:rsidP="00C10A39">
            <w:pPr>
              <w:pStyle w:val="ListParagraph"/>
              <w:numPr>
                <w:ilvl w:val="0"/>
                <w:numId w:val="17"/>
              </w:numPr>
              <w:rPr>
                <w:rFonts w:ascii="Arial" w:hAnsi="Arial" w:cs="Arial"/>
              </w:rPr>
            </w:pPr>
            <w:r w:rsidRPr="00C10A39">
              <w:rPr>
                <w:rFonts w:ascii="Arial" w:hAnsi="Arial" w:cs="Arial"/>
              </w:rPr>
              <w:t>Courses are aligned with external reference points and benchmarks (including the FHEQ and where relevant qualification and classification descriptors)</w:t>
            </w:r>
          </w:p>
          <w:p w14:paraId="5793F439" w14:textId="77777777" w:rsidR="00C10A39" w:rsidRPr="00C10A39" w:rsidRDefault="00C10A39" w:rsidP="00C10A39">
            <w:pPr>
              <w:pStyle w:val="ListParagraph"/>
              <w:numPr>
                <w:ilvl w:val="0"/>
                <w:numId w:val="17"/>
              </w:numPr>
              <w:rPr>
                <w:rFonts w:ascii="Arial" w:hAnsi="Arial" w:cs="Arial"/>
              </w:rPr>
            </w:pPr>
            <w:r w:rsidRPr="00C10A39">
              <w:rPr>
                <w:rFonts w:ascii="Arial" w:hAnsi="Arial" w:cs="Arial"/>
              </w:rPr>
              <w:t xml:space="preserve">Courses meet the requirements of PSRB or other accrediting bodies </w:t>
            </w:r>
          </w:p>
          <w:p w14:paraId="620D1582" w14:textId="77777777" w:rsidR="00C10A39" w:rsidRPr="00C10A39" w:rsidRDefault="00C10A39" w:rsidP="00C10A39">
            <w:pPr>
              <w:pStyle w:val="ListParagraph"/>
              <w:numPr>
                <w:ilvl w:val="0"/>
                <w:numId w:val="17"/>
              </w:numPr>
              <w:rPr>
                <w:rFonts w:ascii="Arial" w:hAnsi="Arial" w:cs="Arial"/>
                <w:b/>
              </w:rPr>
            </w:pPr>
            <w:r w:rsidRPr="00C10A39">
              <w:rPr>
                <w:rFonts w:ascii="Arial" w:hAnsi="Arial" w:cs="Arial"/>
              </w:rPr>
              <w:t xml:space="preserve">Students achieve appropriate standards </w:t>
            </w:r>
          </w:p>
        </w:tc>
      </w:tr>
      <w:tr w:rsidR="00C10A39" w:rsidRPr="00C10A39" w14:paraId="7DF6E56D" w14:textId="77777777" w:rsidTr="00D64A64">
        <w:tc>
          <w:tcPr>
            <w:tcW w:w="767" w:type="dxa"/>
          </w:tcPr>
          <w:p w14:paraId="13692DE2" w14:textId="77777777" w:rsidR="00C10A39" w:rsidRPr="00C10A39" w:rsidRDefault="00C10A39" w:rsidP="00D64A64">
            <w:pPr>
              <w:rPr>
                <w:rFonts w:ascii="Arial" w:hAnsi="Arial" w:cs="Arial"/>
              </w:rPr>
            </w:pPr>
            <w:r w:rsidRPr="00C10A39">
              <w:rPr>
                <w:rFonts w:ascii="Arial" w:hAnsi="Arial" w:cs="Arial"/>
              </w:rPr>
              <w:t>UE13</w:t>
            </w:r>
          </w:p>
        </w:tc>
        <w:tc>
          <w:tcPr>
            <w:tcW w:w="8442" w:type="dxa"/>
          </w:tcPr>
          <w:p w14:paraId="4511F96A" w14:textId="77777777" w:rsidR="00C10A39" w:rsidRPr="00C10A39" w:rsidRDefault="00C10A39" w:rsidP="00D64A64">
            <w:pPr>
              <w:rPr>
                <w:rFonts w:ascii="Arial" w:hAnsi="Arial" w:cs="Arial"/>
                <w:b/>
                <w:bCs/>
              </w:rPr>
            </w:pPr>
            <w:r w:rsidRPr="00C10A39">
              <w:rPr>
                <w:rFonts w:ascii="Arial" w:hAnsi="Arial" w:cs="Arial"/>
                <w:b/>
                <w:bCs/>
              </w:rPr>
              <w:t>Applicant and student information</w:t>
            </w:r>
          </w:p>
          <w:p w14:paraId="5D9A27D4" w14:textId="77777777" w:rsidR="00C10A39" w:rsidRPr="00C10A39" w:rsidRDefault="00C10A39" w:rsidP="00D64A64">
            <w:pPr>
              <w:rPr>
                <w:rFonts w:ascii="Arial" w:hAnsi="Arial" w:cs="Arial"/>
              </w:rPr>
            </w:pPr>
            <w:r w:rsidRPr="00C10A39">
              <w:rPr>
                <w:rFonts w:ascii="Arial" w:hAnsi="Arial" w:cs="Arial"/>
              </w:rPr>
              <w:t>Published information, including programme and module specifications, course handbooks and module outlines are fit for purpose, accessible and trustworthy</w:t>
            </w:r>
          </w:p>
        </w:tc>
      </w:tr>
      <w:tr w:rsidR="00C10A39" w:rsidRPr="00675A3B" w14:paraId="56A8A310" w14:textId="77777777" w:rsidTr="00D64A64">
        <w:tc>
          <w:tcPr>
            <w:tcW w:w="767" w:type="dxa"/>
          </w:tcPr>
          <w:p w14:paraId="03CC78A4" w14:textId="77777777" w:rsidR="00C10A39" w:rsidRPr="00C10A39" w:rsidRDefault="00C10A39" w:rsidP="00D64A64">
            <w:pPr>
              <w:rPr>
                <w:rFonts w:ascii="Arial" w:hAnsi="Arial" w:cs="Arial"/>
              </w:rPr>
            </w:pPr>
            <w:r w:rsidRPr="00C10A39">
              <w:rPr>
                <w:rFonts w:ascii="Arial" w:hAnsi="Arial" w:cs="Arial"/>
              </w:rPr>
              <w:t>UE14</w:t>
            </w:r>
          </w:p>
        </w:tc>
        <w:tc>
          <w:tcPr>
            <w:tcW w:w="8442" w:type="dxa"/>
          </w:tcPr>
          <w:p w14:paraId="563CF0BC" w14:textId="77777777" w:rsidR="00C10A39" w:rsidRPr="00C10A39" w:rsidRDefault="00C10A39" w:rsidP="00D64A64">
            <w:pPr>
              <w:rPr>
                <w:rFonts w:ascii="Arial" w:hAnsi="Arial" w:cs="Arial"/>
                <w:b/>
                <w:bCs/>
              </w:rPr>
            </w:pPr>
            <w:r w:rsidRPr="00C10A39">
              <w:rPr>
                <w:rFonts w:ascii="Arial" w:hAnsi="Arial" w:cs="Arial"/>
                <w:b/>
                <w:bCs/>
              </w:rPr>
              <w:t>Quality assurance and enhancement</w:t>
            </w:r>
          </w:p>
          <w:p w14:paraId="7AEC4F3C" w14:textId="77777777" w:rsidR="00C10A39" w:rsidRPr="006D2995" w:rsidRDefault="00C10A39" w:rsidP="00D64A64">
            <w:pPr>
              <w:rPr>
                <w:rFonts w:ascii="Arial" w:hAnsi="Arial" w:cs="Arial"/>
              </w:rPr>
            </w:pPr>
            <w:r w:rsidRPr="00C10A39">
              <w:rPr>
                <w:rFonts w:ascii="Arial" w:hAnsi="Arial" w:cs="Arial"/>
              </w:rPr>
              <w:t>The Department uses data to identify and manage risk, and to drive continuous improvement</w:t>
            </w:r>
            <w:r>
              <w:rPr>
                <w:rFonts w:ascii="Arial" w:hAnsi="Arial" w:cs="Arial"/>
              </w:rPr>
              <w:t xml:space="preserve"> </w:t>
            </w:r>
          </w:p>
        </w:tc>
      </w:tr>
      <w:bookmarkEnd w:id="0"/>
    </w:tbl>
    <w:p w14:paraId="09BA7396" w14:textId="77777777" w:rsidR="00825E88" w:rsidRPr="004A7292" w:rsidRDefault="00825E88" w:rsidP="00825E88">
      <w:pPr>
        <w:spacing w:after="0" w:line="240" w:lineRule="auto"/>
        <w:rPr>
          <w:rFonts w:ascii="Arial" w:hAnsi="Arial" w:cs="Arial"/>
          <w:sz w:val="24"/>
          <w:szCs w:val="24"/>
        </w:rPr>
      </w:pPr>
    </w:p>
    <w:p w14:paraId="50F10800" w14:textId="77777777" w:rsidR="00825E88" w:rsidRPr="00D67936" w:rsidRDefault="00825E88" w:rsidP="00825E88">
      <w:pPr>
        <w:spacing w:after="0" w:line="240" w:lineRule="auto"/>
        <w:rPr>
          <w:rFonts w:ascii="Arial" w:hAnsi="Arial" w:cs="Arial"/>
          <w:b/>
        </w:rPr>
      </w:pPr>
      <w:r w:rsidRPr="00D67936">
        <w:rPr>
          <w:rFonts w:ascii="Arial" w:hAnsi="Arial" w:cs="Arial"/>
          <w:b/>
        </w:rPr>
        <w:t>Judgements</w:t>
      </w:r>
    </w:p>
    <w:p w14:paraId="49CCBEEB" w14:textId="77777777" w:rsidR="00825E88" w:rsidRPr="00772FC9" w:rsidRDefault="00772FC9" w:rsidP="00772FC9">
      <w:pPr>
        <w:spacing w:after="0" w:line="240" w:lineRule="auto"/>
        <w:rPr>
          <w:rFonts w:ascii="Arial" w:hAnsi="Arial" w:cs="Arial"/>
        </w:rPr>
      </w:pPr>
      <w:r w:rsidRPr="00772FC9">
        <w:rPr>
          <w:rFonts w:ascii="Arial" w:hAnsi="Arial" w:cs="Arial"/>
        </w:rPr>
        <w:t xml:space="preserve">The </w:t>
      </w:r>
      <w:r w:rsidR="00825E88" w:rsidRPr="00772FC9">
        <w:rPr>
          <w:rFonts w:ascii="Arial" w:hAnsi="Arial" w:cs="Arial"/>
        </w:rPr>
        <w:t>review panel arrives at a judgement about each of the Expectations based on the evidence provided and the discussions that take place during the review event itself.</w:t>
      </w:r>
    </w:p>
    <w:p w14:paraId="4EC50BD2" w14:textId="77777777" w:rsidR="00825E88" w:rsidRPr="00D67936" w:rsidRDefault="00825E88" w:rsidP="00825E88">
      <w:pPr>
        <w:spacing w:after="0" w:line="240" w:lineRule="auto"/>
        <w:rPr>
          <w:rFonts w:ascii="Arial" w:hAnsi="Arial" w:cs="Arial"/>
        </w:rPr>
      </w:pPr>
    </w:p>
    <w:p w14:paraId="786357F2" w14:textId="77777777" w:rsidR="00825E88" w:rsidRPr="00486779" w:rsidRDefault="00825E88" w:rsidP="00825E88">
      <w:pPr>
        <w:spacing w:after="0" w:line="240" w:lineRule="auto"/>
        <w:ind w:left="426" w:hanging="426"/>
        <w:rPr>
          <w:rFonts w:ascii="Arial" w:hAnsi="Arial" w:cs="Arial"/>
        </w:rPr>
      </w:pPr>
      <w:r w:rsidRPr="00486779">
        <w:rPr>
          <w:rFonts w:ascii="Arial" w:hAnsi="Arial" w:cs="Arial"/>
        </w:rPr>
        <w:t>One of four judgements is possible in relation to each Expectation:</w:t>
      </w:r>
    </w:p>
    <w:p w14:paraId="1631C4E5" w14:textId="77777777" w:rsidR="00825E88" w:rsidRPr="00D67936" w:rsidRDefault="00825E88" w:rsidP="00825E88">
      <w:pPr>
        <w:pStyle w:val="ListParagraph"/>
        <w:spacing w:after="0" w:line="240" w:lineRule="auto"/>
        <w:ind w:left="360"/>
        <w:rPr>
          <w:rFonts w:ascii="Arial" w:hAnsi="Arial" w:cs="Arial"/>
        </w:rPr>
      </w:pPr>
    </w:p>
    <w:p w14:paraId="0E5B40EA" w14:textId="77777777" w:rsidR="00825E88" w:rsidRPr="00D67936" w:rsidRDefault="00825E88" w:rsidP="00825E88">
      <w:pPr>
        <w:pStyle w:val="ListParagraph"/>
        <w:numPr>
          <w:ilvl w:val="0"/>
          <w:numId w:val="6"/>
        </w:numPr>
        <w:spacing w:after="0" w:line="240" w:lineRule="auto"/>
        <w:rPr>
          <w:rFonts w:ascii="Arial" w:hAnsi="Arial" w:cs="Arial"/>
        </w:rPr>
      </w:pPr>
      <w:r w:rsidRPr="00D339C4">
        <w:rPr>
          <w:rFonts w:ascii="Arial" w:hAnsi="Arial" w:cs="Arial"/>
          <w:b/>
        </w:rPr>
        <w:t>Commended:</w:t>
      </w:r>
      <w:r>
        <w:rPr>
          <w:rFonts w:ascii="Arial" w:hAnsi="Arial" w:cs="Arial"/>
        </w:rPr>
        <w:t xml:space="preserve"> </w:t>
      </w:r>
      <w:r w:rsidRPr="00D67936">
        <w:rPr>
          <w:rFonts w:ascii="Arial" w:hAnsi="Arial" w:cs="Arial"/>
        </w:rPr>
        <w:t>the Department meets the University Expectation and has a number of examples of good practice that merit further dissemination</w:t>
      </w:r>
    </w:p>
    <w:p w14:paraId="5DD5FB91" w14:textId="77777777" w:rsidR="00825E88" w:rsidRPr="00D67936" w:rsidRDefault="00825E88" w:rsidP="00825E88">
      <w:pPr>
        <w:pStyle w:val="ListParagraph"/>
        <w:numPr>
          <w:ilvl w:val="0"/>
          <w:numId w:val="6"/>
        </w:numPr>
        <w:spacing w:after="0" w:line="240" w:lineRule="auto"/>
        <w:rPr>
          <w:rFonts w:ascii="Arial" w:hAnsi="Arial" w:cs="Arial"/>
        </w:rPr>
      </w:pPr>
      <w:r w:rsidRPr="00D339C4">
        <w:rPr>
          <w:rFonts w:ascii="Arial" w:hAnsi="Arial" w:cs="Arial"/>
          <w:b/>
        </w:rPr>
        <w:t>Meets Expectations</w:t>
      </w:r>
      <w:r>
        <w:rPr>
          <w:rFonts w:ascii="Arial" w:hAnsi="Arial" w:cs="Arial"/>
        </w:rPr>
        <w:t xml:space="preserve">: </w:t>
      </w:r>
      <w:r w:rsidRPr="00D67936">
        <w:rPr>
          <w:rFonts w:ascii="Arial" w:hAnsi="Arial" w:cs="Arial"/>
        </w:rPr>
        <w:t>the Department meets the University Expectation</w:t>
      </w:r>
    </w:p>
    <w:p w14:paraId="7520CA1B" w14:textId="77777777" w:rsidR="00825E88" w:rsidRPr="00D67936" w:rsidRDefault="00825E88" w:rsidP="00825E88">
      <w:pPr>
        <w:pStyle w:val="ListParagraph"/>
        <w:numPr>
          <w:ilvl w:val="0"/>
          <w:numId w:val="6"/>
        </w:numPr>
        <w:spacing w:after="0" w:line="240" w:lineRule="auto"/>
        <w:rPr>
          <w:rFonts w:ascii="Arial" w:hAnsi="Arial" w:cs="Arial"/>
        </w:rPr>
      </w:pPr>
      <w:r w:rsidRPr="00D339C4">
        <w:rPr>
          <w:rFonts w:ascii="Arial" w:hAnsi="Arial" w:cs="Arial"/>
          <w:b/>
        </w:rPr>
        <w:t>Requires improvement to meet the Expectation</w:t>
      </w:r>
      <w:r w:rsidRPr="00D67936">
        <w:rPr>
          <w:rFonts w:ascii="Arial" w:hAnsi="Arial" w:cs="Arial"/>
        </w:rPr>
        <w:t>: the Department does not currently meet the Expectation</w:t>
      </w:r>
    </w:p>
    <w:p w14:paraId="05F66540" w14:textId="77777777" w:rsidR="00825E88" w:rsidRPr="00D67936" w:rsidRDefault="00825E88" w:rsidP="00825E88">
      <w:pPr>
        <w:pStyle w:val="ListParagraph"/>
        <w:numPr>
          <w:ilvl w:val="0"/>
          <w:numId w:val="6"/>
        </w:numPr>
        <w:spacing w:after="0" w:line="240" w:lineRule="auto"/>
        <w:rPr>
          <w:rFonts w:ascii="Arial" w:hAnsi="Arial" w:cs="Arial"/>
        </w:rPr>
      </w:pPr>
      <w:r w:rsidRPr="00D339C4">
        <w:rPr>
          <w:rFonts w:ascii="Arial" w:hAnsi="Arial" w:cs="Arial"/>
          <w:b/>
        </w:rPr>
        <w:t>Pending</w:t>
      </w:r>
      <w:r>
        <w:rPr>
          <w:rFonts w:ascii="Arial" w:hAnsi="Arial" w:cs="Arial"/>
        </w:rPr>
        <w:t>:</w:t>
      </w:r>
      <w:r w:rsidRPr="00D67936">
        <w:rPr>
          <w:rFonts w:ascii="Arial" w:hAnsi="Arial" w:cs="Arial"/>
        </w:rPr>
        <w:t xml:space="preserve"> a decision will be deferred until further information has been provided or action taken, within a timescale specified by the Review Panel.</w:t>
      </w:r>
      <w:r w:rsidRPr="00D67936">
        <w:rPr>
          <w:rFonts w:ascii="Arial" w:hAnsi="Arial" w:cs="Arial"/>
        </w:rPr>
        <w:tab/>
        <w:t xml:space="preserve"> </w:t>
      </w:r>
    </w:p>
    <w:p w14:paraId="5896EA0B" w14:textId="77777777" w:rsidR="00150D70" w:rsidRDefault="00150D70"/>
    <w:sectPr w:rsidR="00150D7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CFD0" w14:textId="77777777" w:rsidR="00B87E56" w:rsidRDefault="00B87E56" w:rsidP="00B87E56">
      <w:pPr>
        <w:spacing w:after="0" w:line="240" w:lineRule="auto"/>
      </w:pPr>
      <w:r>
        <w:separator/>
      </w:r>
    </w:p>
  </w:endnote>
  <w:endnote w:type="continuationSeparator" w:id="0">
    <w:p w14:paraId="0D2B2E4D" w14:textId="77777777" w:rsidR="00B87E56" w:rsidRDefault="00B87E56" w:rsidP="00B8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8662" w14:textId="77777777" w:rsidR="00B87E56" w:rsidRDefault="00B87E56" w:rsidP="00B87E56">
      <w:pPr>
        <w:spacing w:after="0" w:line="240" w:lineRule="auto"/>
      </w:pPr>
      <w:r>
        <w:separator/>
      </w:r>
    </w:p>
  </w:footnote>
  <w:footnote w:type="continuationSeparator" w:id="0">
    <w:p w14:paraId="5625EA47" w14:textId="77777777" w:rsidR="00B87E56" w:rsidRDefault="00B87E56" w:rsidP="00B87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6C5C" w14:textId="77777777" w:rsidR="00B87E56" w:rsidRDefault="00B87E56" w:rsidP="00B87E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4090"/>
    <w:multiLevelType w:val="multilevel"/>
    <w:tmpl w:val="1A6644E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1EC4D79"/>
    <w:multiLevelType w:val="multilevel"/>
    <w:tmpl w:val="AB5C84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6001A0"/>
    <w:multiLevelType w:val="hybridMultilevel"/>
    <w:tmpl w:val="FB98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33F2B"/>
    <w:multiLevelType w:val="hybridMultilevel"/>
    <w:tmpl w:val="4BD6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D3CED"/>
    <w:multiLevelType w:val="hybridMultilevel"/>
    <w:tmpl w:val="1C101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871DF3"/>
    <w:multiLevelType w:val="hybridMultilevel"/>
    <w:tmpl w:val="651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25662"/>
    <w:multiLevelType w:val="hybridMultilevel"/>
    <w:tmpl w:val="91C6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345FF"/>
    <w:multiLevelType w:val="hybridMultilevel"/>
    <w:tmpl w:val="37368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FB6C47"/>
    <w:multiLevelType w:val="hybridMultilevel"/>
    <w:tmpl w:val="6D42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E51AB"/>
    <w:multiLevelType w:val="multilevel"/>
    <w:tmpl w:val="970E6D9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B236BD"/>
    <w:multiLevelType w:val="hybridMultilevel"/>
    <w:tmpl w:val="44B6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E38F8"/>
    <w:multiLevelType w:val="hybridMultilevel"/>
    <w:tmpl w:val="6BB213B4"/>
    <w:lvl w:ilvl="0" w:tplc="BE706DA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35331"/>
    <w:multiLevelType w:val="hybridMultilevel"/>
    <w:tmpl w:val="7A5E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36D1C"/>
    <w:multiLevelType w:val="hybridMultilevel"/>
    <w:tmpl w:val="1FB4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61C17"/>
    <w:multiLevelType w:val="hybridMultilevel"/>
    <w:tmpl w:val="B318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971D10"/>
    <w:multiLevelType w:val="hybridMultilevel"/>
    <w:tmpl w:val="B584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330E8"/>
    <w:multiLevelType w:val="hybridMultilevel"/>
    <w:tmpl w:val="C784A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8A47858"/>
    <w:multiLevelType w:val="multilevel"/>
    <w:tmpl w:val="C89240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9"/>
  </w:num>
  <w:num w:numId="4">
    <w:abstractNumId w:val="1"/>
  </w:num>
  <w:num w:numId="5">
    <w:abstractNumId w:val="0"/>
  </w:num>
  <w:num w:numId="6">
    <w:abstractNumId w:val="8"/>
  </w:num>
  <w:num w:numId="7">
    <w:abstractNumId w:val="7"/>
  </w:num>
  <w:num w:numId="8">
    <w:abstractNumId w:val="4"/>
  </w:num>
  <w:num w:numId="9">
    <w:abstractNumId w:val="16"/>
  </w:num>
  <w:num w:numId="10">
    <w:abstractNumId w:val="17"/>
  </w:num>
  <w:num w:numId="11">
    <w:abstractNumId w:val="6"/>
  </w:num>
  <w:num w:numId="12">
    <w:abstractNumId w:val="2"/>
  </w:num>
  <w:num w:numId="13">
    <w:abstractNumId w:val="13"/>
  </w:num>
  <w:num w:numId="14">
    <w:abstractNumId w:val="14"/>
  </w:num>
  <w:num w:numId="15">
    <w:abstractNumId w:val="5"/>
  </w:num>
  <w:num w:numId="16">
    <w:abstractNumId w:val="3"/>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88"/>
    <w:rsid w:val="000A6A8A"/>
    <w:rsid w:val="00134D06"/>
    <w:rsid w:val="00150D70"/>
    <w:rsid w:val="0018703B"/>
    <w:rsid w:val="00314CAB"/>
    <w:rsid w:val="00475613"/>
    <w:rsid w:val="004D4605"/>
    <w:rsid w:val="0058698B"/>
    <w:rsid w:val="006A18A0"/>
    <w:rsid w:val="00725B26"/>
    <w:rsid w:val="00772FC9"/>
    <w:rsid w:val="00825E88"/>
    <w:rsid w:val="008364F4"/>
    <w:rsid w:val="009E0AA5"/>
    <w:rsid w:val="00AA5864"/>
    <w:rsid w:val="00AB3D63"/>
    <w:rsid w:val="00B16950"/>
    <w:rsid w:val="00B87E56"/>
    <w:rsid w:val="00C10A39"/>
    <w:rsid w:val="00C8445F"/>
    <w:rsid w:val="00CB6A92"/>
    <w:rsid w:val="00E16406"/>
    <w:rsid w:val="00F317DE"/>
    <w:rsid w:val="00F95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CF78"/>
  <w15:chartTrackingRefBased/>
  <w15:docId w15:val="{A67FD6BA-3EA9-438B-90A3-3F9FC7F0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E88"/>
    <w:pPr>
      <w:ind w:left="720"/>
      <w:contextualSpacing/>
    </w:pPr>
  </w:style>
  <w:style w:type="paragraph" w:styleId="BodyText">
    <w:name w:val="Body Text"/>
    <w:basedOn w:val="Normal"/>
    <w:link w:val="BodyTextChar"/>
    <w:uiPriority w:val="1"/>
    <w:qFormat/>
    <w:rsid w:val="00825E88"/>
    <w:pPr>
      <w:widowControl w:val="0"/>
      <w:spacing w:after="0" w:line="240" w:lineRule="auto"/>
      <w:ind w:left="820"/>
    </w:pPr>
    <w:rPr>
      <w:rFonts w:ascii="Arial" w:eastAsia="Arial" w:hAnsi="Arial"/>
      <w:lang w:val="en-US"/>
    </w:rPr>
  </w:style>
  <w:style w:type="character" w:customStyle="1" w:styleId="BodyTextChar">
    <w:name w:val="Body Text Char"/>
    <w:basedOn w:val="DefaultParagraphFont"/>
    <w:link w:val="BodyText"/>
    <w:uiPriority w:val="1"/>
    <w:rsid w:val="00825E88"/>
    <w:rPr>
      <w:rFonts w:ascii="Arial" w:eastAsia="Arial" w:hAnsi="Arial"/>
      <w:lang w:val="en-US"/>
    </w:rPr>
  </w:style>
  <w:style w:type="table" w:styleId="TableGrid">
    <w:name w:val="Table Grid"/>
    <w:basedOn w:val="TableNormal"/>
    <w:uiPriority w:val="39"/>
    <w:rsid w:val="0082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0A6A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6A8A"/>
    <w:rPr>
      <w:sz w:val="16"/>
      <w:szCs w:val="16"/>
    </w:rPr>
  </w:style>
  <w:style w:type="paragraph" w:customStyle="1" w:styleId="Martin5">
    <w:name w:val="Martin 5"/>
    <w:basedOn w:val="Normal"/>
    <w:uiPriority w:val="99"/>
    <w:rsid w:val="000A6A8A"/>
    <w:pPr>
      <w:tabs>
        <w:tab w:val="left" w:pos="432"/>
      </w:tabs>
      <w:spacing w:after="0" w:line="260" w:lineRule="exact"/>
    </w:pPr>
    <w:rPr>
      <w:rFonts w:ascii="Arial" w:eastAsia="Times New Roman" w:hAnsi="Arial" w:cs="Tahoma"/>
      <w:w w:val="110"/>
      <w:sz w:val="18"/>
      <w:szCs w:val="24"/>
      <w:lang w:eastAsia="en-GB"/>
    </w:rPr>
  </w:style>
  <w:style w:type="paragraph" w:customStyle="1" w:styleId="bodytext0">
    <w:name w:val="bodytext"/>
    <w:basedOn w:val="Normal"/>
    <w:uiPriority w:val="99"/>
    <w:rsid w:val="000A6A8A"/>
    <w:pPr>
      <w:spacing w:before="100" w:beforeAutospacing="1" w:after="100" w:afterAutospacing="1" w:line="240" w:lineRule="auto"/>
    </w:pPr>
    <w:rPr>
      <w:rFonts w:ascii="Verdana" w:eastAsia="Arial Unicode MS" w:hAnsi="Verdana" w:cs="Arial Unicode MS"/>
      <w:sz w:val="24"/>
      <w:szCs w:val="24"/>
      <w:lang w:eastAsia="en-GB"/>
    </w:rPr>
  </w:style>
  <w:style w:type="paragraph" w:styleId="Header">
    <w:name w:val="header"/>
    <w:basedOn w:val="Normal"/>
    <w:link w:val="HeaderChar"/>
    <w:uiPriority w:val="99"/>
    <w:unhideWhenUsed/>
    <w:rsid w:val="00B87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E56"/>
  </w:style>
  <w:style w:type="paragraph" w:styleId="Footer">
    <w:name w:val="footer"/>
    <w:basedOn w:val="Normal"/>
    <w:link w:val="FooterChar"/>
    <w:uiPriority w:val="99"/>
    <w:unhideWhenUsed/>
    <w:rsid w:val="00B87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E56"/>
  </w:style>
  <w:style w:type="paragraph" w:customStyle="1" w:styleId="Default">
    <w:name w:val="Default"/>
    <w:rsid w:val="00B169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Zandbeek</dc:creator>
  <cp:keywords/>
  <dc:description/>
  <cp:lastModifiedBy>Teresa Nahajski</cp:lastModifiedBy>
  <cp:revision>6</cp:revision>
  <dcterms:created xsi:type="dcterms:W3CDTF">2021-06-10T15:38:00Z</dcterms:created>
  <dcterms:modified xsi:type="dcterms:W3CDTF">2021-06-10T18:17:00Z</dcterms:modified>
</cp:coreProperties>
</file>