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E5B7" w14:textId="2980B00C" w:rsidR="00BE00A1" w:rsidRDefault="00387477" w:rsidP="007678F9">
      <w:pPr>
        <w:spacing w:after="0" w:line="240" w:lineRule="auto"/>
        <w:rPr>
          <w:b/>
          <w:bCs/>
        </w:rPr>
      </w:pPr>
      <w:r>
        <w:rPr>
          <w:b/>
          <w:bCs/>
        </w:rPr>
        <w:t>Guide for Schools: consideration of CPD opportunities</w:t>
      </w:r>
    </w:p>
    <w:p w14:paraId="02B4A356" w14:textId="77777777" w:rsidR="007678F9" w:rsidRPr="007678F9" w:rsidRDefault="007678F9" w:rsidP="007678F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0"/>
        <w:gridCol w:w="1866"/>
      </w:tblGrid>
      <w:tr w:rsidR="00DE46C9" w14:paraId="208C56BA" w14:textId="77777777" w:rsidTr="3B1320FF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B9FA" w14:textId="77777777" w:rsidR="00DE46C9" w:rsidRPr="00965F86" w:rsidRDefault="00DE46C9" w:rsidP="00DE46C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65F86">
              <w:rPr>
                <w:b/>
                <w:bCs/>
              </w:rPr>
              <w:t>When considering whether to offer a module as CPD Schools should consider:</w:t>
            </w:r>
          </w:p>
          <w:p w14:paraId="7D28C7F7" w14:textId="77777777" w:rsidR="00DE46C9" w:rsidRDefault="00DE46C9"/>
        </w:tc>
      </w:tr>
      <w:tr w:rsidR="00387477" w14:paraId="1ED97D40" w14:textId="77777777" w:rsidTr="3B1320FF">
        <w:tc>
          <w:tcPr>
            <w:tcW w:w="73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7EB1F" w14:textId="10C27C7C" w:rsidR="00387477" w:rsidRDefault="00B030FA">
            <w:r>
              <w:t>Consideration: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3DE06" w14:textId="71D4EE2F" w:rsidR="00387477" w:rsidRDefault="00B030FA">
            <w:r>
              <w:t>Notes:</w:t>
            </w:r>
          </w:p>
        </w:tc>
      </w:tr>
      <w:tr w:rsidR="00387477" w14:paraId="18A8408F" w14:textId="77777777" w:rsidTr="3B1320FF">
        <w:tc>
          <w:tcPr>
            <w:tcW w:w="7338" w:type="dxa"/>
            <w:tcBorders>
              <w:top w:val="single" w:sz="4" w:space="0" w:color="auto"/>
            </w:tcBorders>
          </w:tcPr>
          <w:p w14:paraId="0C906B0F" w14:textId="77777777" w:rsidR="00B030FA" w:rsidRDefault="00B030FA" w:rsidP="00B030FA">
            <w:pPr>
              <w:pStyle w:val="ListParagraph"/>
              <w:numPr>
                <w:ilvl w:val="0"/>
                <w:numId w:val="2"/>
              </w:numPr>
            </w:pPr>
            <w:r>
              <w:t xml:space="preserve">What is the target market: employer demand or individuals seeking CPD? </w:t>
            </w:r>
          </w:p>
          <w:p w14:paraId="18A6B766" w14:textId="37CD185E" w:rsidR="00387477" w:rsidRDefault="00B030FA" w:rsidP="007D712B">
            <w:pPr>
              <w:pStyle w:val="ListParagraph"/>
              <w:ind w:left="360"/>
            </w:pPr>
            <w:r>
              <w:t>For a new standalone module, has the market viability been tested through unaccredited workshop/short course? Future potential market: would the module meet the Skills England priority skills needs /New Growth and Skills Levy requirements (once confirmed by DfE: 2025)?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4ED691E8" w14:textId="77777777" w:rsidR="00387477" w:rsidRDefault="00387477"/>
        </w:tc>
      </w:tr>
      <w:tr w:rsidR="00387477" w14:paraId="59ABBE9D" w14:textId="77777777" w:rsidTr="3B1320FF">
        <w:tc>
          <w:tcPr>
            <w:tcW w:w="7338" w:type="dxa"/>
          </w:tcPr>
          <w:p w14:paraId="09C1682C" w14:textId="4570F5C2" w:rsidR="00387477" w:rsidRDefault="00E32BEE" w:rsidP="007D712B">
            <w:pPr>
              <w:pStyle w:val="ListParagraph"/>
              <w:numPr>
                <w:ilvl w:val="0"/>
                <w:numId w:val="2"/>
              </w:numPr>
            </w:pPr>
            <w:r>
              <w:t>Consider whether the student can study with or without credit (non-credit students are attendance only and do not take assessments).</w:t>
            </w:r>
          </w:p>
        </w:tc>
        <w:tc>
          <w:tcPr>
            <w:tcW w:w="1904" w:type="dxa"/>
          </w:tcPr>
          <w:p w14:paraId="5BC618A1" w14:textId="77777777" w:rsidR="00387477" w:rsidRDefault="00387477"/>
        </w:tc>
      </w:tr>
      <w:tr w:rsidR="00387477" w14:paraId="41F8B87F" w14:textId="77777777" w:rsidTr="3B1320FF">
        <w:tc>
          <w:tcPr>
            <w:tcW w:w="7338" w:type="dxa"/>
          </w:tcPr>
          <w:p w14:paraId="2CBC7CFB" w14:textId="2631E478" w:rsidR="00387477" w:rsidRDefault="006745BC" w:rsidP="007D712B">
            <w:pPr>
              <w:pStyle w:val="ListParagraph"/>
              <w:numPr>
                <w:ilvl w:val="0"/>
                <w:numId w:val="2"/>
              </w:numPr>
            </w:pPr>
            <w:r>
              <w:t>Can the module be completed standalone (to other modules on the course), is prior subject knowledge required to complete the module, are there co-requisites or pre-requisites, what are the entry requirements?</w:t>
            </w:r>
          </w:p>
        </w:tc>
        <w:tc>
          <w:tcPr>
            <w:tcW w:w="1904" w:type="dxa"/>
          </w:tcPr>
          <w:p w14:paraId="56136AE5" w14:textId="77777777" w:rsidR="00387477" w:rsidRDefault="00387477"/>
        </w:tc>
      </w:tr>
      <w:tr w:rsidR="00387477" w14:paraId="5D6ACBEE" w14:textId="77777777" w:rsidTr="3B1320FF">
        <w:tc>
          <w:tcPr>
            <w:tcW w:w="7338" w:type="dxa"/>
          </w:tcPr>
          <w:p w14:paraId="7DCAA9CA" w14:textId="1E65092C" w:rsidR="00387477" w:rsidRDefault="009B2727" w:rsidP="007D712B">
            <w:pPr>
              <w:pStyle w:val="ListParagraph"/>
              <w:numPr>
                <w:ilvl w:val="0"/>
                <w:numId w:val="2"/>
              </w:numPr>
            </w:pPr>
            <w:r>
              <w:t>If students are infilling what are the practicalities for the student of delivery mode: evening, weekends, block, online, blended? If separate cohort what is the appropriate delivery mode for the market?</w:t>
            </w:r>
          </w:p>
        </w:tc>
        <w:tc>
          <w:tcPr>
            <w:tcW w:w="1904" w:type="dxa"/>
          </w:tcPr>
          <w:p w14:paraId="62E0996D" w14:textId="77777777" w:rsidR="00387477" w:rsidRDefault="00387477"/>
        </w:tc>
      </w:tr>
      <w:tr w:rsidR="00387477" w14:paraId="04D9E611" w14:textId="77777777" w:rsidTr="3B1320FF">
        <w:tc>
          <w:tcPr>
            <w:tcW w:w="7338" w:type="dxa"/>
          </w:tcPr>
          <w:p w14:paraId="651E416D" w14:textId="6B891144" w:rsidR="00387477" w:rsidRDefault="00124EF4" w:rsidP="007D712B">
            <w:pPr>
              <w:pStyle w:val="ListParagraph"/>
              <w:numPr>
                <w:ilvl w:val="0"/>
                <w:numId w:val="2"/>
              </w:numPr>
            </w:pPr>
            <w:r>
              <w:t xml:space="preserve">Consider implications of assessment requirements of the module, </w:t>
            </w:r>
            <w:proofErr w:type="spellStart"/>
            <w:r>
              <w:t>eg.</w:t>
            </w:r>
            <w:proofErr w:type="spellEnd"/>
            <w:r>
              <w:t xml:space="preserve"> group work, exam? </w:t>
            </w:r>
          </w:p>
        </w:tc>
        <w:tc>
          <w:tcPr>
            <w:tcW w:w="1904" w:type="dxa"/>
          </w:tcPr>
          <w:p w14:paraId="54C0D5E0" w14:textId="77777777" w:rsidR="00387477" w:rsidRDefault="00387477"/>
        </w:tc>
      </w:tr>
      <w:tr w:rsidR="00387477" w14:paraId="6D2646A0" w14:textId="77777777" w:rsidTr="3B1320FF">
        <w:tc>
          <w:tcPr>
            <w:tcW w:w="7338" w:type="dxa"/>
          </w:tcPr>
          <w:p w14:paraId="365BDF09" w14:textId="53CDA3E2" w:rsidR="00387477" w:rsidRDefault="00FC5E9B" w:rsidP="007D712B">
            <w:pPr>
              <w:pStyle w:val="ListParagraph"/>
              <w:numPr>
                <w:ilvl w:val="0"/>
                <w:numId w:val="2"/>
              </w:numPr>
            </w:pPr>
            <w:r>
              <w:t>If existing module is being used as CPD, it must have same learning outcomes and assessment as module delivered to other students.</w:t>
            </w:r>
          </w:p>
        </w:tc>
        <w:tc>
          <w:tcPr>
            <w:tcW w:w="1904" w:type="dxa"/>
          </w:tcPr>
          <w:p w14:paraId="7D883355" w14:textId="77777777" w:rsidR="00387477" w:rsidRDefault="00387477"/>
        </w:tc>
      </w:tr>
      <w:tr w:rsidR="00FC5E9B" w14:paraId="4B6B62BC" w14:textId="77777777" w:rsidTr="3B1320FF">
        <w:tc>
          <w:tcPr>
            <w:tcW w:w="7338" w:type="dxa"/>
          </w:tcPr>
          <w:p w14:paraId="363A8209" w14:textId="7E4EA54A" w:rsidR="007D712B" w:rsidRDefault="007D712B" w:rsidP="007D712B">
            <w:pPr>
              <w:pStyle w:val="ListParagraph"/>
              <w:numPr>
                <w:ilvl w:val="0"/>
                <w:numId w:val="2"/>
              </w:numPr>
            </w:pPr>
            <w:r w:rsidRPr="00BE0A25">
              <w:t>When will the assessment take place and which Exam Board will ratify results</w:t>
            </w:r>
            <w:r>
              <w:t>?</w:t>
            </w:r>
            <w:r w:rsidRPr="004B5985">
              <w:t xml:space="preserve"> </w:t>
            </w:r>
            <w:r>
              <w:t>Assessment arrangements (marking, moderation, externals, confirmation at relevant Board etc) should be the same as for students on host course.</w:t>
            </w:r>
          </w:p>
        </w:tc>
        <w:tc>
          <w:tcPr>
            <w:tcW w:w="1904" w:type="dxa"/>
          </w:tcPr>
          <w:p w14:paraId="7D9B5727" w14:textId="77777777" w:rsidR="00FC5E9B" w:rsidRDefault="00FC5E9B"/>
        </w:tc>
      </w:tr>
      <w:tr w:rsidR="00751CAD" w14:paraId="6343ECC1" w14:textId="77777777" w:rsidTr="3B1320F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7F75BF96" w14:textId="5016461D" w:rsidR="00751CAD" w:rsidRDefault="00751CAD" w:rsidP="00751CAD">
            <w:r w:rsidRPr="00EF3768">
              <w:t>In addition, for new standalone module or change to mode of delivery to run module as separate cohort:</w:t>
            </w:r>
          </w:p>
        </w:tc>
      </w:tr>
      <w:tr w:rsidR="00751CAD" w14:paraId="1A8E3FDA" w14:textId="77777777" w:rsidTr="3B1320FF">
        <w:tc>
          <w:tcPr>
            <w:tcW w:w="7338" w:type="dxa"/>
          </w:tcPr>
          <w:p w14:paraId="15986ECC" w14:textId="77777777" w:rsidR="00DC603E" w:rsidRDefault="00DC603E" w:rsidP="00DC603E">
            <w:pPr>
              <w:pStyle w:val="ListParagraph"/>
              <w:numPr>
                <w:ilvl w:val="0"/>
                <w:numId w:val="2"/>
              </w:numPr>
            </w:pPr>
            <w:r>
              <w:t>Can the module be delivered by multiple members of the Department? (to avoid reputational risk of having to cancel sessions)</w:t>
            </w:r>
          </w:p>
          <w:p w14:paraId="3660E78E" w14:textId="77777777" w:rsidR="00751CAD" w:rsidRPr="00BE0A25" w:rsidRDefault="00751CAD" w:rsidP="00DC603E">
            <w:pPr>
              <w:pStyle w:val="ListParagraph"/>
              <w:ind w:left="360"/>
            </w:pPr>
          </w:p>
        </w:tc>
        <w:tc>
          <w:tcPr>
            <w:tcW w:w="1904" w:type="dxa"/>
          </w:tcPr>
          <w:p w14:paraId="3E9FFBDE" w14:textId="77777777" w:rsidR="00751CAD" w:rsidRDefault="00751CAD"/>
        </w:tc>
      </w:tr>
      <w:tr w:rsidR="00751CAD" w14:paraId="05822A49" w14:textId="77777777" w:rsidTr="3B1320FF">
        <w:tc>
          <w:tcPr>
            <w:tcW w:w="7338" w:type="dxa"/>
          </w:tcPr>
          <w:p w14:paraId="12C48BA5" w14:textId="77777777" w:rsidR="00E10EB6" w:rsidRDefault="00E10EB6" w:rsidP="00E10EB6">
            <w:pPr>
              <w:pStyle w:val="ListParagraph"/>
              <w:numPr>
                <w:ilvl w:val="0"/>
                <w:numId w:val="2"/>
              </w:numPr>
            </w:pPr>
            <w:r>
              <w:t>What are</w:t>
            </w:r>
            <w:r w:rsidRPr="00954E79">
              <w:t xml:space="preserve"> </w:t>
            </w:r>
            <w:r>
              <w:t>r</w:t>
            </w:r>
            <w:r w:rsidRPr="00954E79">
              <w:t>esource requirements (staff/specialist space/library resource capacity) / costing</w:t>
            </w:r>
            <w:r>
              <w:t>s?</w:t>
            </w:r>
          </w:p>
          <w:p w14:paraId="233AA8C3" w14:textId="77777777" w:rsidR="00751CAD" w:rsidRPr="00BE0A25" w:rsidRDefault="00751CAD" w:rsidP="00E10EB6">
            <w:pPr>
              <w:pStyle w:val="ListParagraph"/>
              <w:ind w:left="360"/>
            </w:pPr>
          </w:p>
        </w:tc>
        <w:tc>
          <w:tcPr>
            <w:tcW w:w="1904" w:type="dxa"/>
          </w:tcPr>
          <w:p w14:paraId="1C690F71" w14:textId="77777777" w:rsidR="00751CAD" w:rsidRDefault="00751CAD"/>
        </w:tc>
      </w:tr>
      <w:tr w:rsidR="00E10EB6" w14:paraId="71FAC14D" w14:textId="77777777" w:rsidTr="3B1320FF">
        <w:tc>
          <w:tcPr>
            <w:tcW w:w="7338" w:type="dxa"/>
          </w:tcPr>
          <w:p w14:paraId="5EF5D556" w14:textId="77777777" w:rsidR="00B647ED" w:rsidRDefault="00B647ED" w:rsidP="00B647ED">
            <w:pPr>
              <w:pStyle w:val="ListParagraph"/>
              <w:numPr>
                <w:ilvl w:val="0"/>
                <w:numId w:val="2"/>
              </w:numPr>
            </w:pPr>
            <w:r>
              <w:t>Decide which Semester the module will be delivered in (to enable students to plan programme of modular study).</w:t>
            </w:r>
          </w:p>
          <w:p w14:paraId="001036D7" w14:textId="77777777" w:rsidR="00E10EB6" w:rsidRDefault="00E10EB6" w:rsidP="00621D94">
            <w:pPr>
              <w:pStyle w:val="ListParagraph"/>
              <w:ind w:left="360"/>
            </w:pPr>
          </w:p>
        </w:tc>
        <w:tc>
          <w:tcPr>
            <w:tcW w:w="1904" w:type="dxa"/>
          </w:tcPr>
          <w:p w14:paraId="09147C8C" w14:textId="77777777" w:rsidR="00E10EB6" w:rsidRDefault="00E10EB6"/>
        </w:tc>
      </w:tr>
    </w:tbl>
    <w:p w14:paraId="13BC1D36" w14:textId="77777777" w:rsidR="00621D94" w:rsidRDefault="00621D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415"/>
      </w:tblGrid>
      <w:tr w:rsidR="00621D94" w14:paraId="58C4532A" w14:textId="77777777" w:rsidTr="16364AF4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9B227" w14:textId="2496388E" w:rsidR="00621D94" w:rsidRDefault="00EF68F0" w:rsidP="16364AF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6364AF4">
              <w:rPr>
                <w:b/>
                <w:bCs/>
              </w:rPr>
              <w:t xml:space="preserve">When considering whether to offer a module as part of the </w:t>
            </w:r>
            <w:hyperlink r:id="rId10">
              <w:r w:rsidR="16F6815D" w:rsidRPr="16364AF4">
                <w:rPr>
                  <w:rStyle w:val="Hyperlink"/>
                  <w:b/>
                  <w:bCs/>
                </w:rPr>
                <w:t xml:space="preserve">Postgraduate </w:t>
              </w:r>
              <w:r w:rsidRPr="16364AF4">
                <w:rPr>
                  <w:rStyle w:val="Hyperlink"/>
                  <w:b/>
                  <w:bCs/>
                </w:rPr>
                <w:t xml:space="preserve">Professional Development </w:t>
              </w:r>
              <w:r w:rsidR="42333465" w:rsidRPr="16364AF4">
                <w:rPr>
                  <w:rStyle w:val="Hyperlink"/>
                  <w:b/>
                  <w:bCs/>
                </w:rPr>
                <w:t>award</w:t>
              </w:r>
            </w:hyperlink>
            <w:r w:rsidRPr="16364AF4">
              <w:rPr>
                <w:b/>
                <w:bCs/>
              </w:rPr>
              <w:t xml:space="preserve"> Schools should consider:</w:t>
            </w:r>
          </w:p>
        </w:tc>
      </w:tr>
      <w:tr w:rsidR="00621D94" w14:paraId="625D9FC9" w14:textId="77777777" w:rsidTr="16364AF4">
        <w:tc>
          <w:tcPr>
            <w:tcW w:w="67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B759A8" w14:textId="77777777" w:rsidR="00621D94" w:rsidRDefault="00621D94" w:rsidP="002F5653">
            <w:r>
              <w:t>Consideration: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F77558" w14:textId="77777777" w:rsidR="00621D94" w:rsidRDefault="00621D94" w:rsidP="002F5653">
            <w:r>
              <w:t>Notes:</w:t>
            </w:r>
          </w:p>
        </w:tc>
      </w:tr>
      <w:tr w:rsidR="00621D94" w14:paraId="7AD77A02" w14:textId="77777777" w:rsidTr="16364AF4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14:paraId="3054C6BB" w14:textId="77777777" w:rsidR="00081B57" w:rsidRDefault="00081B57" w:rsidP="00081B57">
            <w:pPr>
              <w:pStyle w:val="ListParagraph"/>
              <w:numPr>
                <w:ilvl w:val="0"/>
                <w:numId w:val="3"/>
              </w:numPr>
            </w:pPr>
            <w:r>
              <w:t>How will the module contribute to the achievement of the Professional Development programme learning outcomes?</w:t>
            </w:r>
          </w:p>
          <w:p w14:paraId="59362DC9" w14:textId="2C255C5B" w:rsidR="00621D94" w:rsidRDefault="00621D94" w:rsidP="002F5653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0E87626C" w14:textId="77777777" w:rsidR="00621D94" w:rsidRDefault="00621D94" w:rsidP="002F5653"/>
        </w:tc>
      </w:tr>
      <w:tr w:rsidR="00EF68F0" w14:paraId="12A495DE" w14:textId="77777777" w:rsidTr="16364AF4">
        <w:tc>
          <w:tcPr>
            <w:tcW w:w="6771" w:type="dxa"/>
            <w:tcBorders>
              <w:top w:val="single" w:sz="4" w:space="0" w:color="auto"/>
            </w:tcBorders>
          </w:tcPr>
          <w:p w14:paraId="1BAB8D29" w14:textId="77777777" w:rsidR="00EF68F0" w:rsidRDefault="00DA459D" w:rsidP="00DA459D">
            <w:pPr>
              <w:pStyle w:val="ListParagraph"/>
              <w:numPr>
                <w:ilvl w:val="0"/>
                <w:numId w:val="3"/>
              </w:numPr>
            </w:pPr>
            <w:r>
              <w:t>Does the module have a high likelihood of running every year?</w:t>
            </w:r>
          </w:p>
          <w:p w14:paraId="05C03402" w14:textId="40A8F3C1" w:rsidR="004B2712" w:rsidRDefault="004B2712" w:rsidP="004B2712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3997E122" w14:textId="77777777" w:rsidR="00EF68F0" w:rsidRDefault="00EF68F0" w:rsidP="002F5653"/>
        </w:tc>
      </w:tr>
    </w:tbl>
    <w:p w14:paraId="34F20C5E" w14:textId="77777777" w:rsidR="004B2712" w:rsidRDefault="004B2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4"/>
        <w:gridCol w:w="2412"/>
      </w:tblGrid>
      <w:tr w:rsidR="004B2712" w14:paraId="027D021B" w14:textId="77777777" w:rsidTr="16364AF4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07D90" w14:textId="3B40711F" w:rsidR="0080648A" w:rsidRPr="00F477A5" w:rsidRDefault="1743459E" w:rsidP="0080648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6364AF4">
              <w:rPr>
                <w:b/>
                <w:bCs/>
              </w:rPr>
              <w:t xml:space="preserve">Key Principles for Professional Development </w:t>
            </w:r>
            <w:r w:rsidR="5DCD66C8" w:rsidRPr="16364AF4">
              <w:rPr>
                <w:b/>
                <w:bCs/>
              </w:rPr>
              <w:t xml:space="preserve">award </w:t>
            </w:r>
            <w:r w:rsidRPr="16364AF4">
              <w:rPr>
                <w:b/>
                <w:bCs/>
              </w:rPr>
              <w:t>modules:</w:t>
            </w:r>
          </w:p>
          <w:p w14:paraId="15914E7E" w14:textId="77777777" w:rsidR="004B2712" w:rsidRDefault="004B2712" w:rsidP="002F5653"/>
        </w:tc>
      </w:tr>
      <w:tr w:rsidR="004B2712" w14:paraId="4E1378B2" w14:textId="77777777" w:rsidTr="16364AF4">
        <w:tc>
          <w:tcPr>
            <w:tcW w:w="67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C6807B" w14:textId="77777777" w:rsidR="004B2712" w:rsidRDefault="004B2712" w:rsidP="002F5653">
            <w:r>
              <w:lastRenderedPageBreak/>
              <w:t>Consideration: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3BAAC8" w14:textId="77777777" w:rsidR="004B2712" w:rsidRDefault="004B2712" w:rsidP="002F5653">
            <w:r>
              <w:t>Notes:</w:t>
            </w:r>
          </w:p>
        </w:tc>
      </w:tr>
      <w:tr w:rsidR="004B2712" w14:paraId="5B57857C" w14:textId="77777777" w:rsidTr="16364AF4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14:paraId="1D6189BC" w14:textId="77777777" w:rsidR="004B2712" w:rsidRDefault="006E5028" w:rsidP="006E5028">
            <w:pPr>
              <w:pStyle w:val="ListParagraph"/>
              <w:numPr>
                <w:ilvl w:val="0"/>
                <w:numId w:val="4"/>
              </w:numPr>
            </w:pPr>
            <w:r>
              <w:t>PD portfolio is transdisciplinary (not subject specific)</w:t>
            </w:r>
          </w:p>
          <w:p w14:paraId="0D8B7228" w14:textId="716406B2" w:rsidR="00066B8A" w:rsidRDefault="00066B8A" w:rsidP="00066B8A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39A71EDB" w14:textId="77777777" w:rsidR="004B2712" w:rsidRDefault="004B2712" w:rsidP="002F5653"/>
        </w:tc>
      </w:tr>
      <w:tr w:rsidR="004B2712" w14:paraId="402C494D" w14:textId="77777777" w:rsidTr="16364AF4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14:paraId="529D6909" w14:textId="27D9871B" w:rsidR="00957A18" w:rsidRDefault="00957A18" w:rsidP="00957A18">
            <w:pPr>
              <w:pStyle w:val="ListParagraph"/>
              <w:numPr>
                <w:ilvl w:val="0"/>
                <w:numId w:val="4"/>
              </w:numPr>
            </w:pPr>
            <w:r>
              <w:t>PG modules students typically infill and will be taught alongside students on existing approved modules*</w:t>
            </w:r>
          </w:p>
          <w:p w14:paraId="2F4C3F58" w14:textId="77777777" w:rsidR="004B2712" w:rsidRDefault="004B2712" w:rsidP="002F5653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1B26F25B" w14:textId="77777777" w:rsidR="004B2712" w:rsidRDefault="004B2712" w:rsidP="002F5653"/>
        </w:tc>
      </w:tr>
      <w:tr w:rsidR="00957A18" w14:paraId="58F672EC" w14:textId="77777777" w:rsidTr="16364AF4">
        <w:tc>
          <w:tcPr>
            <w:tcW w:w="6771" w:type="dxa"/>
            <w:tcBorders>
              <w:top w:val="single" w:sz="4" w:space="0" w:color="auto"/>
            </w:tcBorders>
          </w:tcPr>
          <w:p w14:paraId="6D531C70" w14:textId="5233463E" w:rsidR="004F5B3F" w:rsidRDefault="04F3C4F4" w:rsidP="6991687B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UG modules will typically be designed for CPD and will have their own CPD cohort on a standalone module. </w:t>
            </w:r>
            <w:r w:rsidRPr="6991687B">
              <w:rPr>
                <w:i/>
                <w:iCs/>
              </w:rPr>
              <w:t xml:space="preserve">L6 </w:t>
            </w:r>
            <w:r w:rsidR="24416FCA" w:rsidRPr="6991687B">
              <w:rPr>
                <w:i/>
                <w:iCs/>
              </w:rPr>
              <w:t xml:space="preserve">programme </w:t>
            </w:r>
            <w:r w:rsidRPr="6991687B">
              <w:rPr>
                <w:i/>
                <w:iCs/>
              </w:rPr>
              <w:t xml:space="preserve">not </w:t>
            </w:r>
            <w:r w:rsidR="02655F90" w:rsidRPr="6991687B">
              <w:rPr>
                <w:i/>
                <w:iCs/>
              </w:rPr>
              <w:t>currently in development</w:t>
            </w:r>
          </w:p>
          <w:p w14:paraId="6AECBADF" w14:textId="77777777" w:rsidR="00957A18" w:rsidRDefault="00957A18" w:rsidP="004F5B3F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6C9DB80" w14:textId="77777777" w:rsidR="00957A18" w:rsidRDefault="00957A18" w:rsidP="002F5653"/>
        </w:tc>
      </w:tr>
      <w:tr w:rsidR="00957A18" w14:paraId="51DADB59" w14:textId="77777777" w:rsidTr="16364AF4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14:paraId="7BC7CBA9" w14:textId="2962D74B" w:rsidR="00987969" w:rsidRDefault="38D0433F" w:rsidP="3B1320FF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Students will be in employment or regularly volunteering </w:t>
            </w:r>
          </w:p>
          <w:p w14:paraId="1BF1AF88" w14:textId="77777777" w:rsidR="00957A18" w:rsidRDefault="00957A18" w:rsidP="00987969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21E7BA17" w14:textId="77777777" w:rsidR="00957A18" w:rsidRDefault="00957A18" w:rsidP="002F5653"/>
        </w:tc>
      </w:tr>
      <w:tr w:rsidR="00987969" w14:paraId="5158449A" w14:textId="77777777" w:rsidTr="16364AF4">
        <w:tc>
          <w:tcPr>
            <w:tcW w:w="6771" w:type="dxa"/>
            <w:tcBorders>
              <w:top w:val="single" w:sz="4" w:space="0" w:color="auto"/>
            </w:tcBorders>
          </w:tcPr>
          <w:p w14:paraId="661790E1" w14:textId="1FAD39EF" w:rsidR="00987969" w:rsidRDefault="78714E15" w:rsidP="00987969">
            <w:pPr>
              <w:pStyle w:val="ListParagraph"/>
              <w:numPr>
                <w:ilvl w:val="0"/>
                <w:numId w:val="4"/>
              </w:numPr>
            </w:pPr>
            <w:r>
              <w:t>Any additional e</w:t>
            </w:r>
            <w:r w:rsidR="5DA94D07">
              <w:t xml:space="preserve">ntry requirements </w:t>
            </w:r>
            <w:r w:rsidR="14C05913">
              <w:t>to the module</w:t>
            </w:r>
          </w:p>
          <w:p w14:paraId="75A1918C" w14:textId="0DC1D8F3" w:rsidR="006E72AD" w:rsidRDefault="006E72AD" w:rsidP="006E72AD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259928E" w14:textId="77777777" w:rsidR="00987969" w:rsidRDefault="00987969" w:rsidP="002F5653"/>
        </w:tc>
      </w:tr>
      <w:tr w:rsidR="00987969" w14:paraId="35932809" w14:textId="77777777" w:rsidTr="16364AF4">
        <w:tc>
          <w:tcPr>
            <w:tcW w:w="6771" w:type="dxa"/>
            <w:tcBorders>
              <w:top w:val="single" w:sz="4" w:space="0" w:color="auto"/>
            </w:tcBorders>
          </w:tcPr>
          <w:p w14:paraId="6F6063AE" w14:textId="77777777" w:rsidR="00066B8A" w:rsidRDefault="00066B8A" w:rsidP="00066B8A">
            <w:pPr>
              <w:pStyle w:val="ListParagraph"/>
              <w:numPr>
                <w:ilvl w:val="0"/>
                <w:numId w:val="4"/>
              </w:numPr>
            </w:pPr>
            <w:r w:rsidRPr="00E76728">
              <w:t xml:space="preserve">If existing module is being used as part of PD offer, </w:t>
            </w:r>
            <w:r>
              <w:t>module will</w:t>
            </w:r>
            <w:r w:rsidRPr="00E76728">
              <w:t xml:space="preserve"> have the same learning outcomes and assessment etc as module delivered to other students</w:t>
            </w:r>
            <w:r>
              <w:t>.</w:t>
            </w:r>
          </w:p>
          <w:p w14:paraId="1B1FC812" w14:textId="77777777" w:rsidR="00987969" w:rsidRDefault="00987969" w:rsidP="00066B8A">
            <w:pPr>
              <w:pStyle w:val="ListParagraph"/>
              <w:ind w:left="360"/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2D4B1C8D" w14:textId="77777777" w:rsidR="00987969" w:rsidRDefault="00987969" w:rsidP="002F5653"/>
        </w:tc>
      </w:tr>
    </w:tbl>
    <w:p w14:paraId="2A886FAA" w14:textId="77777777" w:rsidR="004B2712" w:rsidRDefault="004B2712"/>
    <w:p w14:paraId="5693621A" w14:textId="2620DF4B" w:rsidR="00734E9C" w:rsidRDefault="00734E9C" w:rsidP="00734E9C">
      <w:pPr>
        <w:spacing w:after="0" w:line="240" w:lineRule="auto"/>
      </w:pPr>
      <w:r>
        <w:t xml:space="preserve">*Initially </w:t>
      </w:r>
      <w:r w:rsidR="26A9235B">
        <w:t xml:space="preserve">the </w:t>
      </w:r>
      <w:r>
        <w:t>PD</w:t>
      </w:r>
      <w:r w:rsidR="4AEB52D9">
        <w:t xml:space="preserve"> award</w:t>
      </w:r>
      <w:r>
        <w:t xml:space="preserve"> will use existing validated modules that are already running – while the programme is establishing and numbers to individual modules may be low, to reduce reputational risk of modules being offered but not viable to run. </w:t>
      </w:r>
    </w:p>
    <w:p w14:paraId="6F276A97" w14:textId="77777777" w:rsidR="00734E9C" w:rsidRDefault="00734E9C" w:rsidP="00734E9C">
      <w:pPr>
        <w:spacing w:after="0" w:line="240" w:lineRule="auto"/>
      </w:pPr>
      <w:r>
        <w:t>For new standalone accredited modules Schools should initially t</w:t>
      </w:r>
      <w:r w:rsidRPr="008F0243">
        <w:t>est the market viability for new opportunities through unaccredited workshops/short courses (</w:t>
      </w:r>
      <w:r>
        <w:t>follow</w:t>
      </w:r>
      <w:r w:rsidRPr="008F0243">
        <w:t xml:space="preserve"> process: Pre-Award Processes for Externally Funded Projects).</w:t>
      </w:r>
    </w:p>
    <w:p w14:paraId="56311951" w14:textId="77777777" w:rsidR="00734E9C" w:rsidRDefault="00734E9C" w:rsidP="00734E9C">
      <w:pPr>
        <w:spacing w:after="0" w:line="240" w:lineRule="auto"/>
      </w:pPr>
    </w:p>
    <w:p w14:paraId="34A51902" w14:textId="430F97DC" w:rsidR="00734E9C" w:rsidRDefault="00734E9C" w:rsidP="00734E9C">
      <w:pPr>
        <w:spacing w:after="0" w:line="240" w:lineRule="auto"/>
      </w:pPr>
      <w:r w:rsidRPr="6991687B">
        <w:rPr>
          <w:b/>
          <w:bCs/>
        </w:rPr>
        <w:t>Approval process for credit-bearing modules</w:t>
      </w:r>
      <w:r>
        <w:t xml:space="preserve"> – see flowchart</w:t>
      </w:r>
      <w:r w:rsidR="76CB6071">
        <w:t xml:space="preserve"> (Annex A)</w:t>
      </w:r>
    </w:p>
    <w:p w14:paraId="1C3782FE" w14:textId="68F07855" w:rsidR="6F37222A" w:rsidRDefault="6F37222A" w:rsidP="000151C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Theme="minorEastAsia"/>
          <w:highlight w:val="yellow"/>
        </w:rPr>
      </w:pPr>
      <w:r w:rsidRPr="16364AF4">
        <w:rPr>
          <w:rFonts w:eastAsiaTheme="minorEastAsia"/>
          <w:highlight w:val="yellow"/>
        </w:rPr>
        <w:t xml:space="preserve">For </w:t>
      </w:r>
      <w:r w:rsidRPr="16364AF4">
        <w:rPr>
          <w:rFonts w:eastAsiaTheme="minorEastAsia"/>
          <w:b/>
          <w:bCs/>
          <w:highlight w:val="yellow"/>
        </w:rPr>
        <w:t xml:space="preserve">existing credit-bearing module to be considered as part of the </w:t>
      </w:r>
      <w:hyperlink r:id="rId11">
        <w:r w:rsidRPr="16364AF4">
          <w:rPr>
            <w:rStyle w:val="Hyperlink"/>
            <w:rFonts w:eastAsiaTheme="minorEastAsia"/>
            <w:b/>
            <w:bCs/>
            <w:color w:val="0000FF"/>
            <w:highlight w:val="yellow"/>
          </w:rPr>
          <w:t>Postgraduate Professional Development award</w:t>
        </w:r>
      </w:hyperlink>
      <w:r w:rsidRPr="16364AF4">
        <w:rPr>
          <w:rFonts w:eastAsiaTheme="minorEastAsia"/>
          <w:b/>
          <w:bCs/>
          <w:highlight w:val="yellow"/>
        </w:rPr>
        <w:t xml:space="preserve">, </w:t>
      </w:r>
      <w:r w:rsidR="43D46ADC" w:rsidRPr="16364AF4">
        <w:rPr>
          <w:rFonts w:eastAsiaTheme="minorEastAsia"/>
          <w:highlight w:val="yellow"/>
        </w:rPr>
        <w:t>submit</w:t>
      </w:r>
      <w:r w:rsidRPr="16364AF4">
        <w:rPr>
          <w:rFonts w:eastAsiaTheme="minorEastAsia"/>
          <w:highlight w:val="yellow"/>
        </w:rPr>
        <w:t xml:space="preserve"> </w:t>
      </w:r>
      <w:r w:rsidRPr="16364AF4">
        <w:rPr>
          <w:rFonts w:eastAsiaTheme="minorEastAsia"/>
          <w:i/>
          <w:iCs/>
          <w:highlight w:val="yellow"/>
        </w:rPr>
        <w:t xml:space="preserve">CPD Form 1: Request for </w:t>
      </w:r>
      <w:r w:rsidR="72584F46" w:rsidRPr="16364AF4">
        <w:rPr>
          <w:rFonts w:eastAsiaTheme="minorEastAsia"/>
          <w:i/>
          <w:iCs/>
          <w:highlight w:val="yellow"/>
        </w:rPr>
        <w:t>Credit</w:t>
      </w:r>
      <w:r w:rsidRPr="16364AF4">
        <w:rPr>
          <w:rFonts w:eastAsiaTheme="minorEastAsia"/>
          <w:i/>
          <w:iCs/>
          <w:highlight w:val="yellow"/>
        </w:rPr>
        <w:t xml:space="preserve">-bearing module as CPD </w:t>
      </w:r>
      <w:r w:rsidRPr="16364AF4">
        <w:rPr>
          <w:rFonts w:eastAsiaTheme="minorEastAsia"/>
          <w:highlight w:val="yellow"/>
        </w:rPr>
        <w:t xml:space="preserve">and </w:t>
      </w:r>
      <w:r w:rsidRPr="16364AF4">
        <w:rPr>
          <w:rFonts w:eastAsiaTheme="minorEastAsia"/>
          <w:i/>
          <w:iCs/>
          <w:highlight w:val="yellow"/>
        </w:rPr>
        <w:t xml:space="preserve">CPD Form 2: Website – module information form </w:t>
      </w:r>
      <w:r w:rsidRPr="16364AF4">
        <w:rPr>
          <w:rFonts w:eastAsiaTheme="minorEastAsia"/>
          <w:highlight w:val="yellow"/>
        </w:rPr>
        <w:t>for each module</w:t>
      </w:r>
      <w:r w:rsidR="29995A27" w:rsidRPr="16364AF4">
        <w:rPr>
          <w:rFonts w:eastAsiaTheme="minorEastAsia"/>
          <w:highlight w:val="yellow"/>
        </w:rPr>
        <w:t xml:space="preserve"> to </w:t>
      </w:r>
      <w:r w:rsidR="44DE74CE" w:rsidRPr="16364AF4">
        <w:rPr>
          <w:rFonts w:eastAsiaTheme="minorEastAsia"/>
          <w:color w:val="000000" w:themeColor="text1"/>
          <w:highlight w:val="yellow"/>
        </w:rPr>
        <w:t>School of Nursing and Midwifery CMAS.</w:t>
      </w:r>
    </w:p>
    <w:p w14:paraId="0B269101" w14:textId="417189EF" w:rsidR="3B039135" w:rsidRDefault="3B039135" w:rsidP="000151C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Theme="minorEastAsia"/>
          <w:highlight w:val="yellow"/>
        </w:rPr>
      </w:pPr>
      <w:r w:rsidRPr="16364AF4">
        <w:rPr>
          <w:rFonts w:eastAsiaTheme="minorEastAsia"/>
          <w:highlight w:val="yellow"/>
        </w:rPr>
        <w:t xml:space="preserve">For </w:t>
      </w:r>
      <w:r w:rsidRPr="16364AF4">
        <w:rPr>
          <w:rFonts w:eastAsiaTheme="minorEastAsia"/>
          <w:b/>
          <w:bCs/>
          <w:highlight w:val="yellow"/>
        </w:rPr>
        <w:t xml:space="preserve">new standalone credit-bearing module or change to existing module to be considered as part of CPD </w:t>
      </w:r>
      <w:proofErr w:type="gramStart"/>
      <w:r w:rsidRPr="16364AF4">
        <w:rPr>
          <w:rFonts w:eastAsiaTheme="minorEastAsia"/>
          <w:b/>
          <w:bCs/>
          <w:highlight w:val="yellow"/>
        </w:rPr>
        <w:t>offer:</w:t>
      </w:r>
      <w:proofErr w:type="gramEnd"/>
      <w:r w:rsidRPr="16364AF4">
        <w:rPr>
          <w:rFonts w:eastAsiaTheme="minorEastAsia"/>
          <w:b/>
          <w:bCs/>
          <w:highlight w:val="yellow"/>
        </w:rPr>
        <w:t xml:space="preserve"> </w:t>
      </w:r>
      <w:r w:rsidRPr="16364AF4">
        <w:rPr>
          <w:rFonts w:eastAsiaTheme="minorEastAsia"/>
          <w:highlight w:val="yellow"/>
        </w:rPr>
        <w:t xml:space="preserve">submit </w:t>
      </w:r>
      <w:r w:rsidRPr="16364AF4">
        <w:rPr>
          <w:rFonts w:eastAsiaTheme="minorEastAsia"/>
          <w:i/>
          <w:iCs/>
          <w:highlight w:val="yellow"/>
        </w:rPr>
        <w:t xml:space="preserve">CPD Form 1: Request for Credit-bearing module as CPD </w:t>
      </w:r>
      <w:r w:rsidRPr="16364AF4">
        <w:rPr>
          <w:rFonts w:eastAsiaTheme="minorEastAsia"/>
          <w:highlight w:val="yellow"/>
        </w:rPr>
        <w:t xml:space="preserve">and </w:t>
      </w:r>
      <w:r w:rsidRPr="16364AF4">
        <w:rPr>
          <w:rFonts w:eastAsiaTheme="minorEastAsia"/>
          <w:i/>
          <w:iCs/>
          <w:highlight w:val="yellow"/>
        </w:rPr>
        <w:t xml:space="preserve">CPD Form 2: Website – module information form </w:t>
      </w:r>
      <w:r w:rsidRPr="16364AF4">
        <w:rPr>
          <w:rFonts w:eastAsiaTheme="minorEastAsia"/>
          <w:highlight w:val="yellow"/>
        </w:rPr>
        <w:t>for each module to</w:t>
      </w:r>
      <w:r w:rsidR="40EFC242" w:rsidRPr="16364AF4">
        <w:rPr>
          <w:rFonts w:eastAsiaTheme="minorEastAsia"/>
          <w:highlight w:val="yellow"/>
        </w:rPr>
        <w:t xml:space="preserve"> relevant College Executive.</w:t>
      </w:r>
    </w:p>
    <w:p w14:paraId="3A8FBE4A" w14:textId="163F7425" w:rsidR="3B039135" w:rsidRDefault="3B039135" w:rsidP="000151C9">
      <w:pPr>
        <w:pStyle w:val="ListParagraph"/>
        <w:spacing w:after="0"/>
        <w:ind w:left="360"/>
        <w:rPr>
          <w:rFonts w:eastAsiaTheme="minorEastAsia"/>
          <w:color w:val="0000FF"/>
          <w:highlight w:val="yellow"/>
          <w:u w:val="single"/>
        </w:rPr>
      </w:pPr>
      <w:r w:rsidRPr="16364AF4">
        <w:rPr>
          <w:rFonts w:eastAsiaTheme="minorEastAsia"/>
          <w:highlight w:val="yellow"/>
        </w:rPr>
        <w:t xml:space="preserve">Once approved to proceed by your College Executive, </w:t>
      </w:r>
      <w:r w:rsidR="7F1FE5E5" w:rsidRPr="16364AF4">
        <w:rPr>
          <w:rFonts w:eastAsiaTheme="minorEastAsia"/>
          <w:highlight w:val="yellow"/>
        </w:rPr>
        <w:t xml:space="preserve">submit </w:t>
      </w:r>
      <w:r w:rsidR="0B0AA982" w:rsidRPr="16364AF4">
        <w:rPr>
          <w:rFonts w:eastAsiaTheme="minorEastAsia"/>
          <w:i/>
          <w:iCs/>
          <w:highlight w:val="yellow"/>
        </w:rPr>
        <w:t>CPD Form 1: Request for Credit-bearing module as CPD</w:t>
      </w:r>
      <w:r w:rsidRPr="16364AF4">
        <w:rPr>
          <w:rFonts w:eastAsiaTheme="minorEastAsia"/>
          <w:highlight w:val="yellow"/>
        </w:rPr>
        <w:t xml:space="preserve">, </w:t>
      </w:r>
      <w:r w:rsidRPr="16364AF4">
        <w:rPr>
          <w:rFonts w:eastAsiaTheme="minorEastAsia"/>
          <w:i/>
          <w:iCs/>
          <w:highlight w:val="yellow"/>
        </w:rPr>
        <w:t>CPD Form 2 Website – module information form</w:t>
      </w:r>
      <w:r w:rsidRPr="16364AF4">
        <w:rPr>
          <w:rFonts w:eastAsiaTheme="minorEastAsia"/>
          <w:highlight w:val="yellow"/>
        </w:rPr>
        <w:t xml:space="preserve">, new or amended Module Specification and APPG Costings Form (available from, and completed in conjunction with, Finance), to </w:t>
      </w:r>
      <w:r w:rsidR="0DAD0954" w:rsidRPr="16364AF4">
        <w:rPr>
          <w:rFonts w:eastAsiaTheme="minorEastAsia"/>
          <w:highlight w:val="yellow"/>
        </w:rPr>
        <w:t>relevant</w:t>
      </w:r>
      <w:r w:rsidRPr="16364AF4">
        <w:rPr>
          <w:rFonts w:eastAsiaTheme="minorEastAsia"/>
          <w:highlight w:val="yellow"/>
        </w:rPr>
        <w:t xml:space="preserve"> Sch</w:t>
      </w:r>
      <w:r w:rsidRPr="16364AF4">
        <w:rPr>
          <w:rFonts w:eastAsiaTheme="minorEastAsia"/>
          <w:color w:val="000000" w:themeColor="text1"/>
          <w:highlight w:val="yellow"/>
        </w:rPr>
        <w:t>ool CMAS or Extra Ordinary School Sub-Group (where earlier meeting is required to respond to market demand)</w:t>
      </w:r>
      <w:r w:rsidRPr="16364AF4">
        <w:rPr>
          <w:rFonts w:eastAsiaTheme="minorEastAsia"/>
          <w:highlight w:val="yellow"/>
        </w:rPr>
        <w:t>.</w:t>
      </w:r>
    </w:p>
    <w:p w14:paraId="4369526D" w14:textId="77777777" w:rsidR="00734E9C" w:rsidRDefault="00734E9C" w:rsidP="00734E9C">
      <w:pPr>
        <w:spacing w:after="0" w:line="240" w:lineRule="auto"/>
      </w:pPr>
    </w:p>
    <w:p w14:paraId="61689EC9" w14:textId="07D328BB" w:rsidR="00734E9C" w:rsidRPr="001E22E7" w:rsidRDefault="1B930D70" w:rsidP="16364AF4">
      <w:pPr>
        <w:spacing w:after="0" w:line="240" w:lineRule="auto"/>
        <w:rPr>
          <w:b/>
          <w:bCs/>
        </w:rPr>
      </w:pPr>
      <w:r w:rsidRPr="16364AF4">
        <w:rPr>
          <w:b/>
          <w:bCs/>
        </w:rPr>
        <w:t>F</w:t>
      </w:r>
      <w:r w:rsidR="00734E9C" w:rsidRPr="16364AF4">
        <w:rPr>
          <w:b/>
          <w:bCs/>
        </w:rPr>
        <w:t>ollowing approval</w:t>
      </w:r>
      <w:r w:rsidR="2197A977" w:rsidRPr="16364AF4">
        <w:rPr>
          <w:b/>
          <w:bCs/>
        </w:rPr>
        <w:t>:</w:t>
      </w:r>
    </w:p>
    <w:p w14:paraId="05A07424" w14:textId="77777777" w:rsidR="00734E9C" w:rsidRDefault="00734E9C" w:rsidP="00810599">
      <w:pPr>
        <w:pStyle w:val="ListParagraph"/>
        <w:numPr>
          <w:ilvl w:val="0"/>
          <w:numId w:val="6"/>
        </w:numPr>
        <w:spacing w:after="0" w:line="240" w:lineRule="auto"/>
        <w:ind w:left="426" w:hanging="284"/>
      </w:pPr>
      <w:r>
        <w:t xml:space="preserve">School Quality Administrator informs Registry of changes to module and sends definitive documentation. </w:t>
      </w:r>
    </w:p>
    <w:p w14:paraId="052C4049" w14:textId="0D356D55" w:rsidR="005128D3" w:rsidRDefault="6CFFD368" w:rsidP="00810599">
      <w:pPr>
        <w:pStyle w:val="ListParagraph"/>
        <w:numPr>
          <w:ilvl w:val="0"/>
          <w:numId w:val="6"/>
        </w:numPr>
        <w:spacing w:after="0" w:line="240" w:lineRule="auto"/>
        <w:ind w:left="426" w:hanging="284"/>
      </w:pPr>
      <w:r>
        <w:t>C</w:t>
      </w:r>
      <w:r w:rsidR="00734E9C">
        <w:t>entral record/ module occurrence code</w:t>
      </w:r>
      <w:r w:rsidR="1367528C">
        <w:t xml:space="preserve"> (if applicable)</w:t>
      </w:r>
      <w:r w:rsidR="00734E9C">
        <w:t xml:space="preserve"> /admissions/comms/ assessment/Exam Board arrangements/ notify EE </w:t>
      </w:r>
      <w:r w:rsidR="1DC855B0">
        <w:t xml:space="preserve">/PD webpage </w:t>
      </w:r>
      <w:r w:rsidR="00734E9C">
        <w:t>etc</w:t>
      </w:r>
    </w:p>
    <w:p w14:paraId="2E86FE47" w14:textId="0626079D" w:rsidR="61055DCB" w:rsidRDefault="61055DCB" w:rsidP="61055DCB">
      <w:pPr>
        <w:spacing w:after="0" w:line="240" w:lineRule="auto"/>
        <w:rPr>
          <w:b/>
          <w:bCs/>
        </w:rPr>
      </w:pPr>
    </w:p>
    <w:p w14:paraId="77FEC2D8" w14:textId="4217B318" w:rsidR="005128D3" w:rsidRDefault="41098A47" w:rsidP="16364AF4">
      <w:pPr>
        <w:spacing w:after="0" w:line="240" w:lineRule="auto"/>
        <w:rPr>
          <w:b/>
          <w:bCs/>
        </w:rPr>
      </w:pPr>
      <w:r w:rsidRPr="16364AF4">
        <w:rPr>
          <w:b/>
          <w:bCs/>
        </w:rPr>
        <w:t>Note:  Approval process for non-credit bearing modules</w:t>
      </w:r>
    </w:p>
    <w:p w14:paraId="4D91030A" w14:textId="56FDC50D" w:rsidR="005128D3" w:rsidRDefault="41098A47" w:rsidP="00810599">
      <w:pPr>
        <w:pStyle w:val="ListParagraph"/>
        <w:numPr>
          <w:ilvl w:val="0"/>
          <w:numId w:val="6"/>
        </w:numPr>
        <w:spacing w:after="0" w:line="240" w:lineRule="auto"/>
        <w:ind w:left="426" w:hanging="284"/>
        <w:sectPr w:rsidR="005128D3" w:rsidSect="00810599">
          <w:footerReference w:type="default" r:id="rId12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  <w:r>
        <w:t>Non-credit bearing modules to follow process for Pre-Award Processes for Externally Funded Projects</w:t>
      </w:r>
    </w:p>
    <w:p w14:paraId="7721CED4" w14:textId="088B26C4" w:rsidR="00940140" w:rsidRDefault="0051457E" w:rsidP="007D6FC4">
      <w:pPr>
        <w:rPr>
          <w:noProof/>
        </w:rPr>
      </w:pPr>
      <w:r w:rsidRPr="61055DCB">
        <w:rPr>
          <w:b/>
          <w:bCs/>
          <w:noProof/>
        </w:rPr>
        <w:lastRenderedPageBreak/>
        <w:t>Annex A</w:t>
      </w:r>
    </w:p>
    <w:p w14:paraId="01E60AD6" w14:textId="471E68BB" w:rsidR="000151C9" w:rsidRPr="007D6FC4" w:rsidRDefault="51C22B59" w:rsidP="007D6FC4">
      <w:r>
        <w:rPr>
          <w:noProof/>
        </w:rPr>
        <w:drawing>
          <wp:inline distT="0" distB="0" distL="0" distR="0" wp14:anchorId="5294CE32" wp14:editId="58B91BEB">
            <wp:extent cx="5943600" cy="8246423"/>
            <wp:effectExtent l="0" t="0" r="0" b="0"/>
            <wp:docPr id="29353674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3674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1C9" w:rsidRPr="007D6FC4" w:rsidSect="005128D3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A383" w14:textId="77777777" w:rsidR="006D3A69" w:rsidRDefault="006D3A69" w:rsidP="00621D94">
      <w:pPr>
        <w:spacing w:after="0" w:line="240" w:lineRule="auto"/>
      </w:pPr>
      <w:r>
        <w:separator/>
      </w:r>
    </w:p>
  </w:endnote>
  <w:endnote w:type="continuationSeparator" w:id="0">
    <w:p w14:paraId="01641AED" w14:textId="77777777" w:rsidR="006D3A69" w:rsidRDefault="006D3A69" w:rsidP="00621D94">
      <w:pPr>
        <w:spacing w:after="0" w:line="240" w:lineRule="auto"/>
      </w:pPr>
      <w:r>
        <w:continuationSeparator/>
      </w:r>
    </w:p>
  </w:endnote>
  <w:endnote w:type="continuationNotice" w:id="1">
    <w:p w14:paraId="096A34C4" w14:textId="77777777" w:rsidR="006D3A69" w:rsidRDefault="006D3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238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C6FDB" w14:textId="0CE8B7F3" w:rsidR="00621D94" w:rsidRDefault="00621D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1F7C2" w14:textId="77777777" w:rsidR="00621D94" w:rsidRDefault="0062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9671" w14:textId="77777777" w:rsidR="006D3A69" w:rsidRDefault="006D3A69" w:rsidP="00621D94">
      <w:pPr>
        <w:spacing w:after="0" w:line="240" w:lineRule="auto"/>
      </w:pPr>
      <w:r>
        <w:separator/>
      </w:r>
    </w:p>
  </w:footnote>
  <w:footnote w:type="continuationSeparator" w:id="0">
    <w:p w14:paraId="7587A163" w14:textId="77777777" w:rsidR="006D3A69" w:rsidRDefault="006D3A69" w:rsidP="00621D94">
      <w:pPr>
        <w:spacing w:after="0" w:line="240" w:lineRule="auto"/>
      </w:pPr>
      <w:r>
        <w:continuationSeparator/>
      </w:r>
    </w:p>
  </w:footnote>
  <w:footnote w:type="continuationNotice" w:id="1">
    <w:p w14:paraId="1E514A2A" w14:textId="77777777" w:rsidR="006D3A69" w:rsidRDefault="006D3A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13C"/>
    <w:multiLevelType w:val="hybridMultilevel"/>
    <w:tmpl w:val="1E76F4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20E04"/>
    <w:multiLevelType w:val="hybridMultilevel"/>
    <w:tmpl w:val="E0EA07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67D79"/>
    <w:multiLevelType w:val="hybridMultilevel"/>
    <w:tmpl w:val="E0EA07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332E4C"/>
    <w:multiLevelType w:val="hybridMultilevel"/>
    <w:tmpl w:val="8BE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1FBA"/>
    <w:multiLevelType w:val="hybridMultilevel"/>
    <w:tmpl w:val="C3E484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C70E6E"/>
    <w:multiLevelType w:val="hybridMultilevel"/>
    <w:tmpl w:val="7D9A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30543"/>
    <w:multiLevelType w:val="hybridMultilevel"/>
    <w:tmpl w:val="D412428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840040">
    <w:abstractNumId w:val="6"/>
  </w:num>
  <w:num w:numId="2" w16cid:durableId="1092624269">
    <w:abstractNumId w:val="1"/>
  </w:num>
  <w:num w:numId="3" w16cid:durableId="1397169324">
    <w:abstractNumId w:val="2"/>
  </w:num>
  <w:num w:numId="4" w16cid:durableId="664358142">
    <w:abstractNumId w:val="4"/>
  </w:num>
  <w:num w:numId="5" w16cid:durableId="1568876396">
    <w:abstractNumId w:val="0"/>
  </w:num>
  <w:num w:numId="6" w16cid:durableId="110708485">
    <w:abstractNumId w:val="3"/>
  </w:num>
  <w:num w:numId="7" w16cid:durableId="1245796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BA"/>
    <w:rsid w:val="000151C9"/>
    <w:rsid w:val="00066B8A"/>
    <w:rsid w:val="00081B57"/>
    <w:rsid w:val="000D2F18"/>
    <w:rsid w:val="000E4591"/>
    <w:rsid w:val="00124EF4"/>
    <w:rsid w:val="001E22E7"/>
    <w:rsid w:val="002B188C"/>
    <w:rsid w:val="00362453"/>
    <w:rsid w:val="00371A0B"/>
    <w:rsid w:val="00387477"/>
    <w:rsid w:val="00404C2C"/>
    <w:rsid w:val="00453CF4"/>
    <w:rsid w:val="004B2712"/>
    <w:rsid w:val="004F5B3F"/>
    <w:rsid w:val="00500C6E"/>
    <w:rsid w:val="005128D3"/>
    <w:rsid w:val="0051457E"/>
    <w:rsid w:val="00555B78"/>
    <w:rsid w:val="00567C9B"/>
    <w:rsid w:val="00621D94"/>
    <w:rsid w:val="006745BC"/>
    <w:rsid w:val="006AE3F5"/>
    <w:rsid w:val="006D3A69"/>
    <w:rsid w:val="006E5028"/>
    <w:rsid w:val="006E72AD"/>
    <w:rsid w:val="00714269"/>
    <w:rsid w:val="00734E9C"/>
    <w:rsid w:val="00751CAD"/>
    <w:rsid w:val="007678F9"/>
    <w:rsid w:val="00791C99"/>
    <w:rsid w:val="007D6FC4"/>
    <w:rsid w:val="007D712B"/>
    <w:rsid w:val="0080648A"/>
    <w:rsid w:val="00810599"/>
    <w:rsid w:val="00812E05"/>
    <w:rsid w:val="008A0C07"/>
    <w:rsid w:val="008E3DDC"/>
    <w:rsid w:val="00940140"/>
    <w:rsid w:val="00954A34"/>
    <w:rsid w:val="00957A18"/>
    <w:rsid w:val="00982E56"/>
    <w:rsid w:val="00987969"/>
    <w:rsid w:val="00993197"/>
    <w:rsid w:val="00993786"/>
    <w:rsid w:val="009B2727"/>
    <w:rsid w:val="009B9F0D"/>
    <w:rsid w:val="00A354DB"/>
    <w:rsid w:val="00B030FA"/>
    <w:rsid w:val="00B647ED"/>
    <w:rsid w:val="00BA25E7"/>
    <w:rsid w:val="00BB41C4"/>
    <w:rsid w:val="00BE00A1"/>
    <w:rsid w:val="00CB4F72"/>
    <w:rsid w:val="00CF2ABA"/>
    <w:rsid w:val="00D02FFB"/>
    <w:rsid w:val="00D12050"/>
    <w:rsid w:val="00DA459D"/>
    <w:rsid w:val="00DC603E"/>
    <w:rsid w:val="00DE46C9"/>
    <w:rsid w:val="00E1098E"/>
    <w:rsid w:val="00E10EB6"/>
    <w:rsid w:val="00E32BEE"/>
    <w:rsid w:val="00E9647A"/>
    <w:rsid w:val="00EB5B3C"/>
    <w:rsid w:val="00EF5338"/>
    <w:rsid w:val="00EF68F0"/>
    <w:rsid w:val="00F12AF2"/>
    <w:rsid w:val="00F603D6"/>
    <w:rsid w:val="00F634E7"/>
    <w:rsid w:val="00F635AB"/>
    <w:rsid w:val="00FA0E50"/>
    <w:rsid w:val="00FC5E9B"/>
    <w:rsid w:val="01DB9716"/>
    <w:rsid w:val="02655F90"/>
    <w:rsid w:val="02C2D93D"/>
    <w:rsid w:val="030347B8"/>
    <w:rsid w:val="037A7176"/>
    <w:rsid w:val="04CB830A"/>
    <w:rsid w:val="04F3C4F4"/>
    <w:rsid w:val="06634483"/>
    <w:rsid w:val="07535BD0"/>
    <w:rsid w:val="0809E219"/>
    <w:rsid w:val="0B0AA982"/>
    <w:rsid w:val="0C421FCE"/>
    <w:rsid w:val="0CB1611F"/>
    <w:rsid w:val="0CE203DD"/>
    <w:rsid w:val="0D5412D3"/>
    <w:rsid w:val="0DAD0954"/>
    <w:rsid w:val="0E776D74"/>
    <w:rsid w:val="0EA5A9E9"/>
    <w:rsid w:val="108202AB"/>
    <w:rsid w:val="11633CBF"/>
    <w:rsid w:val="1367528C"/>
    <w:rsid w:val="14C05913"/>
    <w:rsid w:val="150D3EB6"/>
    <w:rsid w:val="15FCD302"/>
    <w:rsid w:val="16364AF4"/>
    <w:rsid w:val="16F6815D"/>
    <w:rsid w:val="1743459E"/>
    <w:rsid w:val="1B930D70"/>
    <w:rsid w:val="1BD4D949"/>
    <w:rsid w:val="1BDCC846"/>
    <w:rsid w:val="1DC855B0"/>
    <w:rsid w:val="1DEEF562"/>
    <w:rsid w:val="203C6449"/>
    <w:rsid w:val="2075EC62"/>
    <w:rsid w:val="209EEA59"/>
    <w:rsid w:val="2197A977"/>
    <w:rsid w:val="24416FCA"/>
    <w:rsid w:val="2448E362"/>
    <w:rsid w:val="25262C9B"/>
    <w:rsid w:val="25E42832"/>
    <w:rsid w:val="26A9235B"/>
    <w:rsid w:val="27129A5F"/>
    <w:rsid w:val="28ACE752"/>
    <w:rsid w:val="29995A27"/>
    <w:rsid w:val="2C777B60"/>
    <w:rsid w:val="2DD0F2E6"/>
    <w:rsid w:val="30892B24"/>
    <w:rsid w:val="30FD093F"/>
    <w:rsid w:val="338F165D"/>
    <w:rsid w:val="33D93A23"/>
    <w:rsid w:val="353F27F1"/>
    <w:rsid w:val="36525E66"/>
    <w:rsid w:val="38D0433F"/>
    <w:rsid w:val="39D75CE1"/>
    <w:rsid w:val="3B039135"/>
    <w:rsid w:val="3B1320FF"/>
    <w:rsid w:val="3D32DBBA"/>
    <w:rsid w:val="3EB3C156"/>
    <w:rsid w:val="40BCB362"/>
    <w:rsid w:val="40EFC242"/>
    <w:rsid w:val="41098A47"/>
    <w:rsid w:val="42333465"/>
    <w:rsid w:val="42A7F647"/>
    <w:rsid w:val="4322002B"/>
    <w:rsid w:val="43C74A1D"/>
    <w:rsid w:val="43D46ADC"/>
    <w:rsid w:val="449BC821"/>
    <w:rsid w:val="44DE74CE"/>
    <w:rsid w:val="474D2500"/>
    <w:rsid w:val="47A01083"/>
    <w:rsid w:val="4899B32B"/>
    <w:rsid w:val="496B55C4"/>
    <w:rsid w:val="4A6ECD3C"/>
    <w:rsid w:val="4AEB52D9"/>
    <w:rsid w:val="4B01BC8A"/>
    <w:rsid w:val="4BCA7464"/>
    <w:rsid w:val="4C200D85"/>
    <w:rsid w:val="4D4DC346"/>
    <w:rsid w:val="4E4A73E6"/>
    <w:rsid w:val="4E5FE5CD"/>
    <w:rsid w:val="506EC0C5"/>
    <w:rsid w:val="5070E32E"/>
    <w:rsid w:val="5181D20D"/>
    <w:rsid w:val="51C22B59"/>
    <w:rsid w:val="51FB5292"/>
    <w:rsid w:val="53BEF48C"/>
    <w:rsid w:val="57539B74"/>
    <w:rsid w:val="5810AC88"/>
    <w:rsid w:val="5811EBD3"/>
    <w:rsid w:val="587BC76D"/>
    <w:rsid w:val="5966F1E7"/>
    <w:rsid w:val="59EC3239"/>
    <w:rsid w:val="5AC9C55E"/>
    <w:rsid w:val="5AF1D81F"/>
    <w:rsid w:val="5B7F35CB"/>
    <w:rsid w:val="5DA94D07"/>
    <w:rsid w:val="5DCD66C8"/>
    <w:rsid w:val="5E391887"/>
    <w:rsid w:val="5F83CA27"/>
    <w:rsid w:val="608794C1"/>
    <w:rsid w:val="60FEA302"/>
    <w:rsid w:val="61055DCB"/>
    <w:rsid w:val="636033F4"/>
    <w:rsid w:val="645EE1B9"/>
    <w:rsid w:val="64DC2D91"/>
    <w:rsid w:val="652A4656"/>
    <w:rsid w:val="6799664C"/>
    <w:rsid w:val="6815DC4D"/>
    <w:rsid w:val="6849C168"/>
    <w:rsid w:val="6991687B"/>
    <w:rsid w:val="69F6B105"/>
    <w:rsid w:val="6A0FD205"/>
    <w:rsid w:val="6BDB8317"/>
    <w:rsid w:val="6C8E0BA2"/>
    <w:rsid w:val="6CFFD368"/>
    <w:rsid w:val="6F37222A"/>
    <w:rsid w:val="703EB1BE"/>
    <w:rsid w:val="71A82676"/>
    <w:rsid w:val="71DCC258"/>
    <w:rsid w:val="72584F46"/>
    <w:rsid w:val="7328148A"/>
    <w:rsid w:val="7369B726"/>
    <w:rsid w:val="76CB6071"/>
    <w:rsid w:val="78714E15"/>
    <w:rsid w:val="78E87DD9"/>
    <w:rsid w:val="7936A965"/>
    <w:rsid w:val="7CF5A6D8"/>
    <w:rsid w:val="7F1FE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5CE9"/>
  <w15:chartTrackingRefBased/>
  <w15:docId w15:val="{186F835C-57C3-444F-A7F7-CC1FAA3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77"/>
  </w:style>
  <w:style w:type="paragraph" w:styleId="Heading1">
    <w:name w:val="heading 1"/>
    <w:basedOn w:val="Normal"/>
    <w:next w:val="Normal"/>
    <w:link w:val="Heading1Char"/>
    <w:uiPriority w:val="9"/>
    <w:qFormat/>
    <w:rsid w:val="00CF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94"/>
  </w:style>
  <w:style w:type="paragraph" w:styleId="Footer">
    <w:name w:val="footer"/>
    <w:basedOn w:val="Normal"/>
    <w:link w:val="FooterChar"/>
    <w:uiPriority w:val="99"/>
    <w:unhideWhenUsed/>
    <w:rsid w:val="0062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94"/>
  </w:style>
  <w:style w:type="paragraph" w:styleId="NormalWeb">
    <w:name w:val="Normal (Web)"/>
    <w:basedOn w:val="Normal"/>
    <w:uiPriority w:val="99"/>
    <w:semiHidden/>
    <w:unhideWhenUsed/>
    <w:rsid w:val="00C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16364AF4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cester.ac.uk/courses/postgraduate-professional-development?option=19067d51-fb14-5432-ad01-e4ce65d779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orcester.ac.uk/courses/postgraduate-professional-development?option=19067d51-fb14-5432-ad01-e4ce65d779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76C3686E509498386001829217862" ma:contentTypeVersion="4" ma:contentTypeDescription="Create a new document." ma:contentTypeScope="" ma:versionID="85c6af342994c64b1f82095dfdf2acc5">
  <xsd:schema xmlns:xsd="http://www.w3.org/2001/XMLSchema" xmlns:xs="http://www.w3.org/2001/XMLSchema" xmlns:p="http://schemas.microsoft.com/office/2006/metadata/properties" xmlns:ns2="2a0e2477-2234-4e64-8390-8dde8b36f342" targetNamespace="http://schemas.microsoft.com/office/2006/metadata/properties" ma:root="true" ma:fieldsID="db3ccf0a57aaf6fbd92d0b288e8e6116" ns2:_="">
    <xsd:import namespace="2a0e2477-2234-4e64-8390-8dde8b36f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2477-2234-4e64-8390-8dde8b36f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3E5D8-1F7D-4F37-9F0C-4681027EF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0C62A-A33B-42D5-B4E7-371B18454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2477-2234-4e64-8390-8dde8b36f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5D8BF-EC0E-4E3C-BFF4-D83D1A44E2A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Whitehouse</dc:creator>
  <cp:keywords/>
  <dc:description/>
  <cp:lastModifiedBy>Jody Stallard</cp:lastModifiedBy>
  <cp:revision>2</cp:revision>
  <dcterms:created xsi:type="dcterms:W3CDTF">2025-05-13T13:06:00Z</dcterms:created>
  <dcterms:modified xsi:type="dcterms:W3CDTF">2025-05-13T13:06:00Z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106392500</vt:r8>
  </property>
  <property fmtid="{D5CDD505-2E9C-101B-9397-08002B2CF9AE}" pid="3" name="TriggerFlowInfo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ContentTypeId">
    <vt:lpwstr>0x010100BCB76C3686E509498386001829217862</vt:lpwstr>
  </property>
  <property fmtid="{D5CDD505-2E9C-101B-9397-08002B2CF9AE}" pid="7" name="MediaServiceImageTags">
    <vt:lpwstr/>
  </property>
</Properties>
</file>