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D1F15" w14:textId="1F71DF47" w:rsidR="003702A9" w:rsidRPr="00680A72" w:rsidRDefault="00D02FCD" w:rsidP="0050008B">
      <w:pPr>
        <w:outlineLvl w:val="0"/>
        <w:rPr>
          <w:rFonts w:ascii="Arial" w:hAnsi="Arial" w:cs="Arial"/>
          <w:b/>
          <w:color w:val="000000" w:themeColor="text1"/>
          <w:sz w:val="23"/>
          <w:szCs w:val="23"/>
        </w:rPr>
      </w:pPr>
      <w:bookmarkStart w:id="0" w:name="_GoBack"/>
      <w:bookmarkEnd w:id="0"/>
      <w:r w:rsidRPr="00D02FCD">
        <w:rPr>
          <w:rFonts w:ascii="Arial" w:hAnsi="Arial" w:cs="Arial"/>
          <w:b/>
          <w:sz w:val="23"/>
          <w:szCs w:val="23"/>
          <w:u w:val="single"/>
        </w:rPr>
        <w:t>University Regulatory Frameworks, Quality and Learning and Teachi</w:t>
      </w:r>
      <w:r w:rsidR="004A32B6">
        <w:rPr>
          <w:rFonts w:ascii="Arial" w:hAnsi="Arial" w:cs="Arial"/>
          <w:b/>
          <w:sz w:val="23"/>
          <w:szCs w:val="23"/>
          <w:u w:val="single"/>
        </w:rPr>
        <w:t xml:space="preserve">ng Policies </w:t>
      </w:r>
      <w:r w:rsidR="00176C37">
        <w:rPr>
          <w:rFonts w:ascii="Arial" w:hAnsi="Arial" w:cs="Arial"/>
          <w:b/>
          <w:sz w:val="23"/>
          <w:szCs w:val="23"/>
          <w:u w:val="single"/>
        </w:rPr>
        <w:t xml:space="preserve">as at </w:t>
      </w:r>
      <w:r w:rsidR="00155040" w:rsidRPr="001C79F3">
        <w:rPr>
          <w:rFonts w:ascii="Arial" w:hAnsi="Arial" w:cs="Arial"/>
          <w:b/>
          <w:sz w:val="23"/>
          <w:szCs w:val="23"/>
          <w:u w:val="single"/>
        </w:rPr>
        <w:t>Novem</w:t>
      </w:r>
      <w:r w:rsidR="008E2C10" w:rsidRPr="001C79F3">
        <w:rPr>
          <w:rFonts w:ascii="Arial" w:hAnsi="Arial" w:cs="Arial"/>
          <w:b/>
          <w:sz w:val="23"/>
          <w:szCs w:val="23"/>
          <w:u w:val="single"/>
        </w:rPr>
        <w:t xml:space="preserve">ber </w:t>
      </w:r>
      <w:r w:rsidR="00176C37" w:rsidRPr="001C79F3">
        <w:rPr>
          <w:rFonts w:ascii="Arial" w:hAnsi="Arial" w:cs="Arial"/>
          <w:b/>
          <w:sz w:val="23"/>
          <w:szCs w:val="23"/>
          <w:u w:val="single"/>
        </w:rPr>
        <w:t>2019</w:t>
      </w:r>
    </w:p>
    <w:p w14:paraId="1813B3D1" w14:textId="59BFB82B" w:rsidR="004D127D" w:rsidRDefault="004D127D" w:rsidP="00D02FCD">
      <w:pPr>
        <w:rPr>
          <w:rFonts w:ascii="Arial" w:hAnsi="Arial"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015"/>
        <w:gridCol w:w="1863"/>
        <w:gridCol w:w="3864"/>
        <w:gridCol w:w="3783"/>
      </w:tblGrid>
      <w:tr w:rsidR="006D7F7B" w:rsidRPr="004055BD" w14:paraId="02B6ADE1" w14:textId="77777777" w:rsidTr="003E5C6E">
        <w:tc>
          <w:tcPr>
            <w:tcW w:w="2448" w:type="dxa"/>
          </w:tcPr>
          <w:p w14:paraId="46E61F35" w14:textId="77777777" w:rsidR="006D7F7B" w:rsidRPr="004055BD" w:rsidRDefault="004D35CD" w:rsidP="00995582">
            <w:pPr>
              <w:rPr>
                <w:rFonts w:ascii="Arial" w:hAnsi="Arial" w:cs="Arial"/>
                <w:b/>
                <w:sz w:val="23"/>
                <w:szCs w:val="23"/>
              </w:rPr>
            </w:pPr>
            <w:r w:rsidRPr="004055BD">
              <w:rPr>
                <w:rFonts w:ascii="Arial" w:hAnsi="Arial" w:cs="Arial"/>
                <w:b/>
                <w:sz w:val="23"/>
                <w:szCs w:val="23"/>
              </w:rPr>
              <w:t>REGULATORY FRAMEWORKS</w:t>
            </w:r>
          </w:p>
        </w:tc>
        <w:tc>
          <w:tcPr>
            <w:tcW w:w="2055" w:type="dxa"/>
          </w:tcPr>
          <w:p w14:paraId="05481CA2" w14:textId="77777777" w:rsidR="006D7F7B" w:rsidRPr="004055BD" w:rsidRDefault="006D7F7B" w:rsidP="00995582">
            <w:pPr>
              <w:rPr>
                <w:rFonts w:ascii="Arial" w:hAnsi="Arial" w:cs="Arial"/>
                <w:b/>
                <w:sz w:val="23"/>
                <w:szCs w:val="23"/>
              </w:rPr>
            </w:pPr>
            <w:r w:rsidRPr="004055BD">
              <w:rPr>
                <w:rFonts w:ascii="Arial" w:hAnsi="Arial" w:cs="Arial"/>
                <w:b/>
                <w:sz w:val="23"/>
                <w:szCs w:val="23"/>
              </w:rPr>
              <w:t>Date of Approval</w:t>
            </w:r>
          </w:p>
        </w:tc>
        <w:tc>
          <w:tcPr>
            <w:tcW w:w="1905" w:type="dxa"/>
          </w:tcPr>
          <w:p w14:paraId="3A7F274D" w14:textId="77777777" w:rsidR="006D7F7B" w:rsidRPr="004055BD" w:rsidRDefault="006D7F7B" w:rsidP="00995582">
            <w:pPr>
              <w:rPr>
                <w:rFonts w:ascii="Arial" w:hAnsi="Arial" w:cs="Arial"/>
                <w:b/>
                <w:sz w:val="23"/>
                <w:szCs w:val="23"/>
              </w:rPr>
            </w:pPr>
            <w:r w:rsidRPr="004055BD">
              <w:rPr>
                <w:rFonts w:ascii="Arial" w:hAnsi="Arial" w:cs="Arial"/>
                <w:b/>
                <w:sz w:val="23"/>
                <w:szCs w:val="23"/>
              </w:rPr>
              <w:t>Date for Review</w:t>
            </w:r>
          </w:p>
        </w:tc>
        <w:tc>
          <w:tcPr>
            <w:tcW w:w="3960" w:type="dxa"/>
          </w:tcPr>
          <w:p w14:paraId="3B139482" w14:textId="77777777" w:rsidR="006D7F7B" w:rsidRPr="004055BD" w:rsidRDefault="006D7F7B" w:rsidP="00995582">
            <w:pPr>
              <w:rPr>
                <w:rFonts w:ascii="Arial" w:hAnsi="Arial" w:cs="Arial"/>
                <w:b/>
                <w:sz w:val="23"/>
                <w:szCs w:val="23"/>
              </w:rPr>
            </w:pPr>
            <w:r w:rsidRPr="004055BD">
              <w:rPr>
                <w:rFonts w:ascii="Arial" w:hAnsi="Arial" w:cs="Arial"/>
                <w:b/>
                <w:sz w:val="23"/>
                <w:szCs w:val="23"/>
              </w:rPr>
              <w:t>Implementation</w:t>
            </w:r>
          </w:p>
        </w:tc>
        <w:tc>
          <w:tcPr>
            <w:tcW w:w="3806" w:type="dxa"/>
          </w:tcPr>
          <w:p w14:paraId="79350967" w14:textId="77777777" w:rsidR="006D7F7B" w:rsidRPr="004055BD" w:rsidRDefault="006D7F7B" w:rsidP="00995582">
            <w:pPr>
              <w:rPr>
                <w:rFonts w:ascii="Arial" w:hAnsi="Arial" w:cs="Arial"/>
                <w:b/>
                <w:sz w:val="23"/>
                <w:szCs w:val="23"/>
              </w:rPr>
            </w:pPr>
            <w:r w:rsidRPr="004055BD">
              <w:rPr>
                <w:rFonts w:ascii="Arial" w:hAnsi="Arial" w:cs="Arial"/>
                <w:b/>
                <w:sz w:val="23"/>
                <w:szCs w:val="23"/>
              </w:rPr>
              <w:t>Implications for course design</w:t>
            </w:r>
          </w:p>
        </w:tc>
      </w:tr>
      <w:tr w:rsidR="00CE2F9B" w:rsidRPr="004055BD" w14:paraId="4C36EB36" w14:textId="77777777" w:rsidTr="003E5C6E">
        <w:tc>
          <w:tcPr>
            <w:tcW w:w="2448" w:type="dxa"/>
          </w:tcPr>
          <w:p w14:paraId="35395526" w14:textId="77777777" w:rsidR="00CE2F9B" w:rsidRPr="00CE2F9B" w:rsidRDefault="006712D7" w:rsidP="00065DD2">
            <w:pPr>
              <w:rPr>
                <w:rFonts w:ascii="Arial" w:hAnsi="Arial" w:cs="Arial"/>
                <w:sz w:val="20"/>
                <w:szCs w:val="20"/>
              </w:rPr>
            </w:pPr>
            <w:hyperlink r:id="rId8" w:history="1">
              <w:r w:rsidR="00CE2F9B" w:rsidRPr="00CE2F9B">
                <w:rPr>
                  <w:rStyle w:val="Hyperlink"/>
                  <w:rFonts w:ascii="Arial" w:hAnsi="Arial" w:cs="Arial"/>
                  <w:sz w:val="20"/>
                  <w:szCs w:val="20"/>
                </w:rPr>
                <w:t>Taught Courses Regulatory Framework</w:t>
              </w:r>
            </w:hyperlink>
            <w:r w:rsidR="00CE2F9B" w:rsidRPr="00CE2F9B">
              <w:rPr>
                <w:rFonts w:ascii="Arial" w:hAnsi="Arial" w:cs="Arial"/>
                <w:sz w:val="20"/>
                <w:szCs w:val="20"/>
              </w:rPr>
              <w:t xml:space="preserve"> </w:t>
            </w:r>
          </w:p>
          <w:p w14:paraId="7384666D" w14:textId="77777777" w:rsidR="00CE2F9B" w:rsidRPr="00493DFA" w:rsidRDefault="00CE2F9B" w:rsidP="00065DD2">
            <w:pPr>
              <w:rPr>
                <w:highlight w:val="yellow"/>
              </w:rPr>
            </w:pPr>
          </w:p>
        </w:tc>
        <w:tc>
          <w:tcPr>
            <w:tcW w:w="2055" w:type="dxa"/>
          </w:tcPr>
          <w:p w14:paraId="395A495A" w14:textId="77777777" w:rsidR="00CE2F9B" w:rsidRPr="005C34EF" w:rsidRDefault="00CE2F9B" w:rsidP="00065DD2">
            <w:pPr>
              <w:rPr>
                <w:rFonts w:ascii="Arial" w:hAnsi="Arial" w:cs="Arial"/>
                <w:sz w:val="20"/>
                <w:szCs w:val="20"/>
              </w:rPr>
            </w:pPr>
            <w:r w:rsidRPr="005C34EF">
              <w:rPr>
                <w:rFonts w:ascii="Arial" w:hAnsi="Arial" w:cs="Arial"/>
                <w:sz w:val="20"/>
                <w:szCs w:val="20"/>
              </w:rPr>
              <w:t>July 2015</w:t>
            </w:r>
          </w:p>
        </w:tc>
        <w:tc>
          <w:tcPr>
            <w:tcW w:w="1905" w:type="dxa"/>
          </w:tcPr>
          <w:p w14:paraId="57BCCEF2" w14:textId="77777777" w:rsidR="00CE2F9B" w:rsidRPr="00493DFA" w:rsidRDefault="00176C37" w:rsidP="00065DD2">
            <w:pPr>
              <w:rPr>
                <w:rFonts w:ascii="Arial" w:hAnsi="Arial" w:cs="Arial"/>
                <w:sz w:val="20"/>
                <w:szCs w:val="20"/>
                <w:highlight w:val="yellow"/>
              </w:rPr>
            </w:pPr>
            <w:r w:rsidRPr="00176C37">
              <w:rPr>
                <w:rFonts w:ascii="Arial" w:hAnsi="Arial" w:cs="Arial"/>
                <w:sz w:val="20"/>
                <w:szCs w:val="20"/>
              </w:rPr>
              <w:t>Annually</w:t>
            </w:r>
          </w:p>
        </w:tc>
        <w:tc>
          <w:tcPr>
            <w:tcW w:w="3960" w:type="dxa"/>
          </w:tcPr>
          <w:p w14:paraId="015BFE2C" w14:textId="77777777" w:rsidR="00CE2F9B" w:rsidRPr="005C34EF" w:rsidRDefault="00CE2F9B" w:rsidP="00680A72">
            <w:pPr>
              <w:rPr>
                <w:rFonts w:ascii="Arial" w:hAnsi="Arial" w:cs="Arial"/>
                <w:sz w:val="20"/>
                <w:szCs w:val="20"/>
              </w:rPr>
            </w:pPr>
            <w:r w:rsidRPr="005C34EF">
              <w:rPr>
                <w:rFonts w:ascii="Arial" w:hAnsi="Arial" w:cs="Arial"/>
                <w:color w:val="000000" w:themeColor="text1"/>
                <w:sz w:val="20"/>
                <w:szCs w:val="20"/>
              </w:rPr>
              <w:t xml:space="preserve">All </w:t>
            </w:r>
            <w:r w:rsidR="00176C37">
              <w:rPr>
                <w:rFonts w:ascii="Arial" w:hAnsi="Arial" w:cs="Arial"/>
                <w:color w:val="000000" w:themeColor="text1"/>
                <w:sz w:val="20"/>
                <w:szCs w:val="20"/>
              </w:rPr>
              <w:t xml:space="preserve">taught </w:t>
            </w:r>
            <w:r w:rsidRPr="005C34EF">
              <w:rPr>
                <w:rFonts w:ascii="Arial" w:hAnsi="Arial" w:cs="Arial"/>
                <w:color w:val="000000" w:themeColor="text1"/>
                <w:sz w:val="20"/>
                <w:szCs w:val="20"/>
              </w:rPr>
              <w:t>course</w:t>
            </w:r>
            <w:r>
              <w:rPr>
                <w:rFonts w:ascii="Arial" w:hAnsi="Arial" w:cs="Arial"/>
                <w:color w:val="000000" w:themeColor="text1"/>
                <w:sz w:val="20"/>
                <w:szCs w:val="20"/>
              </w:rPr>
              <w:t>s</w:t>
            </w:r>
            <w:r w:rsidR="00176C37">
              <w:rPr>
                <w:rFonts w:ascii="Arial" w:hAnsi="Arial" w:cs="Arial"/>
                <w:color w:val="000000" w:themeColor="text1"/>
                <w:sz w:val="20"/>
                <w:szCs w:val="20"/>
              </w:rPr>
              <w:t xml:space="preserve"> </w:t>
            </w:r>
            <w:r w:rsidRPr="005C34EF">
              <w:rPr>
                <w:rFonts w:ascii="Arial" w:hAnsi="Arial" w:cs="Arial"/>
                <w:color w:val="000000" w:themeColor="text1"/>
                <w:sz w:val="20"/>
                <w:szCs w:val="20"/>
              </w:rPr>
              <w:t>designed to operate within this framework.</w:t>
            </w:r>
            <w:r w:rsidR="00176C37">
              <w:rPr>
                <w:rFonts w:ascii="Arial" w:hAnsi="Arial" w:cs="Arial"/>
                <w:color w:val="000000" w:themeColor="text1"/>
                <w:sz w:val="20"/>
                <w:szCs w:val="20"/>
              </w:rPr>
              <w:t xml:space="preserve">  Where necessary variations are required, these are subject to approval and set out in the Programme Specification.</w:t>
            </w:r>
            <w:r w:rsidRPr="005C34EF">
              <w:rPr>
                <w:rFonts w:ascii="Arial" w:hAnsi="Arial" w:cs="Arial"/>
                <w:color w:val="000000" w:themeColor="text1"/>
                <w:sz w:val="20"/>
                <w:szCs w:val="20"/>
              </w:rPr>
              <w:t xml:space="preserve"> </w:t>
            </w:r>
          </w:p>
        </w:tc>
        <w:tc>
          <w:tcPr>
            <w:tcW w:w="3806" w:type="dxa"/>
          </w:tcPr>
          <w:p w14:paraId="413292CF" w14:textId="77777777" w:rsidR="00CE2F9B" w:rsidRPr="005C34EF" w:rsidRDefault="00CE2F9B" w:rsidP="00065DD2">
            <w:pPr>
              <w:rPr>
                <w:rFonts w:ascii="Arial" w:hAnsi="Arial" w:cs="Arial"/>
                <w:sz w:val="20"/>
                <w:szCs w:val="20"/>
              </w:rPr>
            </w:pPr>
            <w:r w:rsidRPr="005C34EF">
              <w:rPr>
                <w:rFonts w:ascii="Arial" w:hAnsi="Arial" w:cs="Arial"/>
                <w:sz w:val="20"/>
                <w:szCs w:val="20"/>
              </w:rPr>
              <w:t xml:space="preserve">There are a number of specific guidance documents relating to the design of undergraduate programmes, Foundation Degrees and Integrated Masters awards, available on the AQU webpages at </w:t>
            </w:r>
            <w:hyperlink r:id="rId9" w:history="1">
              <w:r w:rsidRPr="005C34EF">
                <w:rPr>
                  <w:rStyle w:val="Hyperlink"/>
                  <w:rFonts w:ascii="Arial" w:hAnsi="Arial" w:cs="Arial"/>
                  <w:sz w:val="20"/>
                  <w:szCs w:val="20"/>
                </w:rPr>
                <w:t>http://www.worc.ac.uk/aqu/658.htm</w:t>
              </w:r>
            </w:hyperlink>
          </w:p>
        </w:tc>
      </w:tr>
    </w:tbl>
    <w:p w14:paraId="71EA5E04" w14:textId="77777777" w:rsidR="003C0695" w:rsidRDefault="003C0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024"/>
        <w:gridCol w:w="1886"/>
        <w:gridCol w:w="3887"/>
        <w:gridCol w:w="3728"/>
      </w:tblGrid>
      <w:tr w:rsidR="004C2236" w:rsidRPr="004055BD" w14:paraId="4229A6FF" w14:textId="77777777" w:rsidTr="008E6E9E">
        <w:trPr>
          <w:tblHeader/>
        </w:trPr>
        <w:tc>
          <w:tcPr>
            <w:tcW w:w="2448" w:type="dxa"/>
            <w:tcBorders>
              <w:top w:val="single" w:sz="4" w:space="0" w:color="auto"/>
              <w:left w:val="single" w:sz="4" w:space="0" w:color="auto"/>
              <w:bottom w:val="single" w:sz="4" w:space="0" w:color="auto"/>
              <w:right w:val="single" w:sz="4" w:space="0" w:color="auto"/>
            </w:tcBorders>
          </w:tcPr>
          <w:p w14:paraId="4725B2C5" w14:textId="77777777" w:rsidR="004C2236" w:rsidRPr="007818AE" w:rsidRDefault="004C2236" w:rsidP="004C2236">
            <w:pPr>
              <w:rPr>
                <w:rFonts w:ascii="Arial" w:hAnsi="Arial" w:cs="Arial"/>
                <w:b/>
                <w:sz w:val="23"/>
                <w:szCs w:val="23"/>
              </w:rPr>
            </w:pPr>
            <w:r w:rsidRPr="007818AE">
              <w:rPr>
                <w:rFonts w:ascii="Arial" w:hAnsi="Arial" w:cs="Arial"/>
                <w:b/>
                <w:sz w:val="23"/>
                <w:szCs w:val="23"/>
              </w:rPr>
              <w:t>UNIVERSITY STRATEGIES</w:t>
            </w:r>
          </w:p>
        </w:tc>
        <w:tc>
          <w:tcPr>
            <w:tcW w:w="2055" w:type="dxa"/>
            <w:tcBorders>
              <w:top w:val="single" w:sz="4" w:space="0" w:color="auto"/>
              <w:left w:val="single" w:sz="4" w:space="0" w:color="auto"/>
              <w:bottom w:val="single" w:sz="4" w:space="0" w:color="auto"/>
              <w:right w:val="single" w:sz="4" w:space="0" w:color="auto"/>
            </w:tcBorders>
          </w:tcPr>
          <w:p w14:paraId="0C47F807" w14:textId="77777777" w:rsidR="004C2236" w:rsidRPr="004C2236" w:rsidRDefault="004C2236" w:rsidP="00A40269">
            <w:pPr>
              <w:rPr>
                <w:rFonts w:ascii="Arial" w:hAnsi="Arial" w:cs="Arial"/>
                <w:b/>
                <w:sz w:val="20"/>
                <w:szCs w:val="20"/>
              </w:rPr>
            </w:pPr>
            <w:r w:rsidRPr="004C2236">
              <w:rPr>
                <w:rFonts w:ascii="Arial" w:hAnsi="Arial" w:cs="Arial"/>
                <w:b/>
                <w:sz w:val="20"/>
                <w:szCs w:val="20"/>
              </w:rPr>
              <w:t>Date of Approval</w:t>
            </w:r>
          </w:p>
        </w:tc>
        <w:tc>
          <w:tcPr>
            <w:tcW w:w="1905" w:type="dxa"/>
            <w:tcBorders>
              <w:top w:val="single" w:sz="4" w:space="0" w:color="auto"/>
              <w:left w:val="single" w:sz="4" w:space="0" w:color="auto"/>
              <w:bottom w:val="single" w:sz="4" w:space="0" w:color="auto"/>
              <w:right w:val="single" w:sz="4" w:space="0" w:color="auto"/>
            </w:tcBorders>
          </w:tcPr>
          <w:p w14:paraId="4002CA75" w14:textId="77777777" w:rsidR="004C2236" w:rsidRPr="004C2236" w:rsidRDefault="004C2236" w:rsidP="00A40269">
            <w:pPr>
              <w:rPr>
                <w:rFonts w:ascii="Arial" w:hAnsi="Arial" w:cs="Arial"/>
                <w:b/>
                <w:sz w:val="20"/>
                <w:szCs w:val="20"/>
              </w:rPr>
            </w:pPr>
            <w:r w:rsidRPr="004C2236">
              <w:rPr>
                <w:rFonts w:ascii="Arial" w:hAnsi="Arial" w:cs="Arial"/>
                <w:b/>
                <w:sz w:val="20"/>
                <w:szCs w:val="20"/>
              </w:rPr>
              <w:t>Date for Review</w:t>
            </w:r>
          </w:p>
        </w:tc>
        <w:tc>
          <w:tcPr>
            <w:tcW w:w="3960" w:type="dxa"/>
            <w:tcBorders>
              <w:top w:val="single" w:sz="4" w:space="0" w:color="auto"/>
              <w:left w:val="single" w:sz="4" w:space="0" w:color="auto"/>
              <w:bottom w:val="single" w:sz="4" w:space="0" w:color="auto"/>
              <w:right w:val="single" w:sz="4" w:space="0" w:color="auto"/>
            </w:tcBorders>
          </w:tcPr>
          <w:p w14:paraId="461DC0E5" w14:textId="77777777" w:rsidR="004C2236" w:rsidRPr="004C2236" w:rsidRDefault="004C2236" w:rsidP="00A40269">
            <w:pPr>
              <w:rPr>
                <w:rFonts w:ascii="Arial" w:hAnsi="Arial" w:cs="Arial"/>
                <w:b/>
                <w:sz w:val="20"/>
                <w:szCs w:val="20"/>
              </w:rPr>
            </w:pPr>
            <w:r w:rsidRPr="004C2236">
              <w:rPr>
                <w:rFonts w:ascii="Arial" w:hAnsi="Arial" w:cs="Arial"/>
                <w:b/>
                <w:sz w:val="20"/>
                <w:szCs w:val="20"/>
              </w:rPr>
              <w:t>Implementation</w:t>
            </w:r>
          </w:p>
        </w:tc>
        <w:tc>
          <w:tcPr>
            <w:tcW w:w="3806" w:type="dxa"/>
            <w:tcBorders>
              <w:top w:val="single" w:sz="4" w:space="0" w:color="auto"/>
              <w:left w:val="single" w:sz="4" w:space="0" w:color="auto"/>
              <w:bottom w:val="single" w:sz="4" w:space="0" w:color="auto"/>
              <w:right w:val="single" w:sz="4" w:space="0" w:color="auto"/>
            </w:tcBorders>
          </w:tcPr>
          <w:p w14:paraId="7E7DFB96" w14:textId="77777777" w:rsidR="004C2236" w:rsidRPr="004C2236" w:rsidRDefault="004C2236" w:rsidP="00A40269">
            <w:pPr>
              <w:rPr>
                <w:rFonts w:ascii="Arial" w:hAnsi="Arial" w:cs="Arial"/>
                <w:b/>
                <w:sz w:val="20"/>
                <w:szCs w:val="20"/>
              </w:rPr>
            </w:pPr>
            <w:r w:rsidRPr="004C2236">
              <w:rPr>
                <w:rFonts w:ascii="Arial" w:hAnsi="Arial" w:cs="Arial"/>
                <w:b/>
                <w:sz w:val="20"/>
                <w:szCs w:val="20"/>
              </w:rPr>
              <w:t>Implications for course design</w:t>
            </w:r>
          </w:p>
        </w:tc>
      </w:tr>
      <w:tr w:rsidR="00493DFA" w:rsidRPr="004055BD" w14:paraId="6A9975EE" w14:textId="77777777" w:rsidTr="00E357CB">
        <w:tc>
          <w:tcPr>
            <w:tcW w:w="2448" w:type="dxa"/>
            <w:tcBorders>
              <w:top w:val="single" w:sz="4" w:space="0" w:color="auto"/>
              <w:left w:val="single" w:sz="4" w:space="0" w:color="auto"/>
              <w:bottom w:val="single" w:sz="4" w:space="0" w:color="auto"/>
              <w:right w:val="single" w:sz="4" w:space="0" w:color="auto"/>
            </w:tcBorders>
            <w:shd w:val="clear" w:color="auto" w:fill="auto"/>
          </w:tcPr>
          <w:p w14:paraId="52F86811" w14:textId="5B10E2C6" w:rsidR="00493DFA" w:rsidRPr="00C63304" w:rsidRDefault="00C63304" w:rsidP="004C2236">
            <w:pPr>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"https://www2.worc.ac.uk/aqu/documents/Learning_and_Teaching_Strategy.pdf" </w:instrText>
            </w:r>
            <w:r>
              <w:rPr>
                <w:rStyle w:val="Hyperlink"/>
                <w:rFonts w:ascii="Arial" w:hAnsi="Arial" w:cs="Arial"/>
                <w:sz w:val="20"/>
                <w:szCs w:val="20"/>
              </w:rPr>
              <w:fldChar w:fldCharType="separate"/>
            </w:r>
            <w:r w:rsidR="00923B54" w:rsidRPr="00C63304">
              <w:rPr>
                <w:rStyle w:val="Hyperlink"/>
                <w:rFonts w:ascii="Arial" w:hAnsi="Arial" w:cs="Arial"/>
                <w:sz w:val="20"/>
                <w:szCs w:val="20"/>
              </w:rPr>
              <w:t>Learning and Teaching Strategy 2015-2018</w:t>
            </w:r>
          </w:p>
          <w:p w14:paraId="1EBD2F71" w14:textId="5BF87245" w:rsidR="00923B54" w:rsidRPr="00E357CB" w:rsidRDefault="00C63304" w:rsidP="00BB3AC3">
            <w:pPr>
              <w:rPr>
                <w:rFonts w:ascii="Arial" w:hAnsi="Arial" w:cs="Arial"/>
                <w:color w:val="FF0000"/>
                <w:sz w:val="20"/>
                <w:szCs w:val="20"/>
              </w:rPr>
            </w:pPr>
            <w:r>
              <w:rPr>
                <w:rStyle w:val="Hyperlink"/>
                <w:rFonts w:ascii="Arial" w:hAnsi="Arial" w:cs="Arial"/>
                <w:sz w:val="20"/>
                <w:szCs w:val="20"/>
              </w:rPr>
              <w:fldChar w:fldCharType="end"/>
            </w:r>
            <w:r w:rsidR="00BB3AC3" w:rsidRPr="00E357CB">
              <w:rPr>
                <w:rFonts w:ascii="Arial" w:hAnsi="Arial" w:cs="Arial"/>
                <w:color w:val="FF0000"/>
                <w:sz w:val="20"/>
                <w:szCs w:val="20"/>
              </w:rPr>
              <w:t xml:space="preserve"> </w:t>
            </w: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5AD1BEAB" w14:textId="77777777" w:rsidR="00493DFA" w:rsidRPr="00680A72" w:rsidRDefault="00493DFA" w:rsidP="00E357CB">
            <w:pPr>
              <w:rPr>
                <w:rFonts w:ascii="Arial" w:hAnsi="Arial" w:cs="Arial"/>
                <w:color w:val="000000" w:themeColor="text1"/>
                <w:sz w:val="20"/>
                <w:szCs w:val="20"/>
              </w:rPr>
            </w:pPr>
            <w:r w:rsidRPr="00680A72">
              <w:rPr>
                <w:rFonts w:ascii="Arial" w:hAnsi="Arial" w:cs="Arial"/>
                <w:color w:val="000000" w:themeColor="text1"/>
                <w:sz w:val="20"/>
                <w:szCs w:val="20"/>
              </w:rPr>
              <w:t>July 201</w:t>
            </w:r>
            <w:r w:rsidR="00E357CB" w:rsidRPr="00680A72">
              <w:rPr>
                <w:rFonts w:ascii="Arial" w:hAnsi="Arial" w:cs="Arial"/>
                <w:color w:val="000000" w:themeColor="text1"/>
                <w:sz w:val="20"/>
                <w:szCs w:val="20"/>
              </w:rPr>
              <w:t>6</w:t>
            </w: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3B8C7DF0" w14:textId="77777777" w:rsidR="00493DFA" w:rsidRPr="00680A72" w:rsidRDefault="00E357CB" w:rsidP="00E357CB">
            <w:pPr>
              <w:rPr>
                <w:rFonts w:ascii="Arial" w:hAnsi="Arial" w:cs="Arial"/>
                <w:color w:val="000000" w:themeColor="text1"/>
                <w:sz w:val="20"/>
                <w:szCs w:val="20"/>
              </w:rPr>
            </w:pPr>
            <w:r w:rsidRPr="00680A72">
              <w:rPr>
                <w:rFonts w:ascii="Arial" w:hAnsi="Arial" w:cs="Arial"/>
                <w:color w:val="000000" w:themeColor="text1"/>
                <w:sz w:val="20"/>
                <w:szCs w:val="20"/>
              </w:rPr>
              <w:t xml:space="preserve">Spring </w:t>
            </w:r>
            <w:r w:rsidR="00493DFA" w:rsidRPr="00680A72">
              <w:rPr>
                <w:rFonts w:ascii="Arial" w:hAnsi="Arial" w:cs="Arial"/>
                <w:color w:val="000000" w:themeColor="text1"/>
                <w:sz w:val="20"/>
                <w:szCs w:val="20"/>
              </w:rPr>
              <w:t>201</w:t>
            </w:r>
            <w:r w:rsidRPr="00680A72">
              <w:rPr>
                <w:rFonts w:ascii="Arial" w:hAnsi="Arial" w:cs="Arial"/>
                <w:color w:val="000000" w:themeColor="text1"/>
                <w:sz w:val="20"/>
                <w:szCs w:val="20"/>
              </w:rPr>
              <w:t>9</w:t>
            </w:r>
            <w:r w:rsidR="00176C37">
              <w:rPr>
                <w:rFonts w:ascii="Arial" w:hAnsi="Arial" w:cs="Arial"/>
                <w:color w:val="000000" w:themeColor="text1"/>
                <w:sz w:val="20"/>
                <w:szCs w:val="20"/>
              </w:rPr>
              <w:t xml:space="preserve"> (currently under review)</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7C83589" w14:textId="77777777" w:rsidR="00493DFA" w:rsidRPr="005C34EF" w:rsidRDefault="00493DFA" w:rsidP="00E46024">
            <w:pPr>
              <w:tabs>
                <w:tab w:val="left" w:pos="2341"/>
              </w:tabs>
              <w:rPr>
                <w:rFonts w:ascii="Arial" w:hAnsi="Arial" w:cs="Arial"/>
                <w:sz w:val="20"/>
                <w:szCs w:val="20"/>
              </w:rPr>
            </w:pPr>
            <w:r w:rsidRPr="005C34EF">
              <w:rPr>
                <w:rFonts w:ascii="Arial" w:hAnsi="Arial" w:cs="Arial"/>
                <w:sz w:val="20"/>
                <w:szCs w:val="20"/>
              </w:rPr>
              <w:t xml:space="preserve">Defines the </w:t>
            </w:r>
            <w:r w:rsidR="00E46024" w:rsidRPr="005C34EF">
              <w:rPr>
                <w:rFonts w:ascii="Arial" w:hAnsi="Arial" w:cs="Arial"/>
                <w:sz w:val="20"/>
                <w:szCs w:val="20"/>
              </w:rPr>
              <w:t xml:space="preserve">key goals and objectives for strategic development of learning and teaching over the next period.  </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76BA77F9" w14:textId="77777777" w:rsidR="00493DFA" w:rsidRPr="00493DFA" w:rsidRDefault="00493DFA" w:rsidP="00493DFA">
            <w:pPr>
              <w:rPr>
                <w:rFonts w:ascii="Arial" w:hAnsi="Arial" w:cs="Arial"/>
                <w:sz w:val="20"/>
                <w:szCs w:val="20"/>
                <w:highlight w:val="yellow"/>
              </w:rPr>
            </w:pPr>
          </w:p>
        </w:tc>
      </w:tr>
      <w:tr w:rsidR="002C012F" w:rsidRPr="004055BD" w14:paraId="56C0F5ED" w14:textId="77777777" w:rsidTr="008E6E9E">
        <w:tc>
          <w:tcPr>
            <w:tcW w:w="2448" w:type="dxa"/>
            <w:tcBorders>
              <w:top w:val="single" w:sz="4" w:space="0" w:color="auto"/>
              <w:left w:val="single" w:sz="4" w:space="0" w:color="auto"/>
              <w:bottom w:val="single" w:sz="4" w:space="0" w:color="auto"/>
              <w:right w:val="single" w:sz="4" w:space="0" w:color="auto"/>
            </w:tcBorders>
          </w:tcPr>
          <w:p w14:paraId="1C4E09A6" w14:textId="438855D6" w:rsidR="00B842BE" w:rsidRDefault="006712D7" w:rsidP="005C34EF">
            <w:pPr>
              <w:rPr>
                <w:rFonts w:ascii="Arial" w:hAnsi="Arial" w:cs="Arial"/>
                <w:sz w:val="20"/>
                <w:szCs w:val="20"/>
              </w:rPr>
            </w:pPr>
            <w:hyperlink r:id="rId10" w:history="1">
              <w:r w:rsidR="00B842BE" w:rsidRPr="00485E29">
                <w:rPr>
                  <w:rStyle w:val="Hyperlink"/>
                  <w:rFonts w:ascii="Arial" w:hAnsi="Arial" w:cs="Arial"/>
                  <w:sz w:val="20"/>
                  <w:szCs w:val="20"/>
                </w:rPr>
                <w:t xml:space="preserve">Technology Enhanced </w:t>
              </w:r>
              <w:r w:rsidR="00485E29" w:rsidRPr="00485E29">
                <w:rPr>
                  <w:rStyle w:val="Hyperlink"/>
                  <w:rFonts w:ascii="Arial" w:hAnsi="Arial" w:cs="Arial"/>
                  <w:sz w:val="20"/>
                  <w:szCs w:val="20"/>
                </w:rPr>
                <w:t xml:space="preserve">Learning </w:t>
              </w:r>
              <w:r w:rsidR="00B842BE" w:rsidRPr="00485E29">
                <w:rPr>
                  <w:rStyle w:val="Hyperlink"/>
                  <w:rFonts w:ascii="Arial" w:hAnsi="Arial" w:cs="Arial"/>
                  <w:sz w:val="20"/>
                  <w:szCs w:val="20"/>
                </w:rPr>
                <w:t>Strategy 2015–2019</w:t>
              </w:r>
            </w:hyperlink>
            <w:r w:rsidR="00B842BE" w:rsidRPr="00485E29">
              <w:rPr>
                <w:rFonts w:ascii="Arial" w:hAnsi="Arial" w:cs="Arial"/>
                <w:sz w:val="20"/>
                <w:szCs w:val="20"/>
              </w:rPr>
              <w:t xml:space="preserve"> </w:t>
            </w:r>
          </w:p>
          <w:p w14:paraId="78D4E524" w14:textId="77777777" w:rsidR="00B842BE" w:rsidRPr="005C34EF" w:rsidRDefault="00B842BE" w:rsidP="00BB3AC3">
            <w:pPr>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tcPr>
          <w:p w14:paraId="1A678CFE" w14:textId="77777777" w:rsidR="002C012F" w:rsidRPr="005C34EF" w:rsidRDefault="002C012F" w:rsidP="00A40269">
            <w:pPr>
              <w:rPr>
                <w:rFonts w:ascii="Arial" w:hAnsi="Arial" w:cs="Arial"/>
                <w:sz w:val="20"/>
                <w:szCs w:val="20"/>
              </w:rPr>
            </w:pPr>
            <w:r w:rsidRPr="005C34EF">
              <w:rPr>
                <w:rFonts w:ascii="Arial" w:hAnsi="Arial" w:cs="Arial"/>
                <w:sz w:val="20"/>
                <w:szCs w:val="20"/>
              </w:rPr>
              <w:t>July 2015</w:t>
            </w: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1198A9F1" w14:textId="77777777" w:rsidR="002C012F" w:rsidRPr="005C34EF" w:rsidRDefault="00176C37" w:rsidP="00AC76AD">
            <w:pPr>
              <w:rPr>
                <w:rFonts w:ascii="Arial" w:hAnsi="Arial" w:cs="Arial"/>
                <w:sz w:val="20"/>
                <w:szCs w:val="20"/>
              </w:rPr>
            </w:pPr>
            <w:r>
              <w:rPr>
                <w:rFonts w:ascii="Arial" w:hAnsi="Arial" w:cs="Arial"/>
                <w:sz w:val="20"/>
                <w:szCs w:val="20"/>
              </w:rPr>
              <w:t>Will be incorporated into new L+T Strategy from 2019/20</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28BC48D6" w14:textId="77777777" w:rsidR="002C012F" w:rsidRPr="005C34EF" w:rsidRDefault="002C012F" w:rsidP="00E46024">
            <w:pPr>
              <w:tabs>
                <w:tab w:val="left" w:pos="2341"/>
              </w:tabs>
              <w:rPr>
                <w:rFonts w:ascii="Arial" w:hAnsi="Arial" w:cs="Arial"/>
                <w:sz w:val="20"/>
                <w:szCs w:val="20"/>
              </w:rPr>
            </w:pPr>
            <w:r w:rsidRPr="005C34EF">
              <w:rPr>
                <w:rFonts w:ascii="Arial" w:eastAsiaTheme="minorHAnsi" w:hAnsi="Arial" w:cs="Arial"/>
                <w:color w:val="000000"/>
                <w:sz w:val="20"/>
                <w:szCs w:val="20"/>
              </w:rPr>
              <w:t>This strategy focuses on the use of digital technologies for the purposes of learning and teaching and its effective management; as such it aligns closely with the University’s L</w:t>
            </w:r>
            <w:r w:rsidR="00E46024" w:rsidRPr="005C34EF">
              <w:rPr>
                <w:rFonts w:ascii="Arial" w:eastAsiaTheme="minorHAnsi" w:hAnsi="Arial" w:cs="Arial"/>
                <w:color w:val="000000"/>
                <w:sz w:val="20"/>
                <w:szCs w:val="20"/>
              </w:rPr>
              <w:t>earning and Teaching Strategy in setting specific priorities</w:t>
            </w:r>
            <w:r w:rsidRPr="005C34EF">
              <w:rPr>
                <w:rFonts w:ascii="Arial" w:eastAsiaTheme="minorHAnsi" w:hAnsi="Arial" w:cs="Arial"/>
                <w:color w:val="000000"/>
                <w:sz w:val="20"/>
                <w:szCs w:val="20"/>
              </w:rPr>
              <w:t>.</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5A42FBC1" w14:textId="77777777" w:rsidR="002C012F" w:rsidRPr="002C012F" w:rsidRDefault="002C012F" w:rsidP="002C012F">
            <w:pPr>
              <w:rPr>
                <w:rFonts w:ascii="Arial" w:hAnsi="Arial" w:cs="Arial"/>
                <w:sz w:val="20"/>
                <w:szCs w:val="20"/>
                <w:highlight w:val="yellow"/>
              </w:rPr>
            </w:pPr>
          </w:p>
        </w:tc>
      </w:tr>
    </w:tbl>
    <w:p w14:paraId="43A764A2" w14:textId="77777777" w:rsidR="007B4F0A" w:rsidRDefault="007B4F0A" w:rsidP="00D02FCD">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985"/>
        <w:gridCol w:w="1984"/>
        <w:gridCol w:w="3827"/>
        <w:gridCol w:w="3747"/>
      </w:tblGrid>
      <w:tr w:rsidR="006D7F7B" w:rsidRPr="004055BD" w14:paraId="6127596C" w14:textId="77777777" w:rsidTr="008458B4">
        <w:trPr>
          <w:tblHeader/>
        </w:trPr>
        <w:tc>
          <w:tcPr>
            <w:tcW w:w="2405" w:type="dxa"/>
          </w:tcPr>
          <w:p w14:paraId="07CC6509" w14:textId="77777777" w:rsidR="006D7F7B" w:rsidRPr="004055BD" w:rsidRDefault="00A11129" w:rsidP="004C2236">
            <w:pPr>
              <w:rPr>
                <w:rFonts w:ascii="Arial" w:hAnsi="Arial" w:cs="Arial"/>
                <w:b/>
                <w:sz w:val="23"/>
                <w:szCs w:val="23"/>
              </w:rPr>
            </w:pPr>
            <w:r>
              <w:rPr>
                <w:rFonts w:ascii="Arial" w:hAnsi="Arial" w:cs="Arial"/>
                <w:sz w:val="23"/>
                <w:szCs w:val="23"/>
              </w:rPr>
              <w:br w:type="page"/>
            </w:r>
            <w:r w:rsidR="00D50BA1">
              <w:rPr>
                <w:rFonts w:ascii="Arial" w:hAnsi="Arial" w:cs="Arial"/>
                <w:sz w:val="23"/>
                <w:szCs w:val="23"/>
              </w:rPr>
              <w:br w:type="page"/>
            </w:r>
            <w:r w:rsidR="004C2236">
              <w:rPr>
                <w:rFonts w:ascii="Arial" w:hAnsi="Arial" w:cs="Arial"/>
                <w:b/>
                <w:sz w:val="23"/>
                <w:szCs w:val="23"/>
              </w:rPr>
              <w:t xml:space="preserve">ACADEMIC </w:t>
            </w:r>
            <w:r w:rsidR="006D7F7B" w:rsidRPr="004055BD">
              <w:rPr>
                <w:rFonts w:ascii="Arial" w:hAnsi="Arial" w:cs="Arial"/>
                <w:b/>
                <w:sz w:val="23"/>
                <w:szCs w:val="23"/>
              </w:rPr>
              <w:t>POLIC</w:t>
            </w:r>
            <w:r w:rsidR="004C2236">
              <w:rPr>
                <w:rFonts w:ascii="Arial" w:hAnsi="Arial" w:cs="Arial"/>
                <w:b/>
                <w:sz w:val="23"/>
                <w:szCs w:val="23"/>
              </w:rPr>
              <w:t>IES</w:t>
            </w:r>
          </w:p>
        </w:tc>
        <w:tc>
          <w:tcPr>
            <w:tcW w:w="1985" w:type="dxa"/>
          </w:tcPr>
          <w:p w14:paraId="474CB700" w14:textId="77777777" w:rsidR="006D7F7B" w:rsidRPr="008458B4" w:rsidRDefault="006D7F7B" w:rsidP="00995582">
            <w:pPr>
              <w:rPr>
                <w:rFonts w:ascii="Arial" w:hAnsi="Arial" w:cs="Arial"/>
                <w:b/>
                <w:sz w:val="20"/>
                <w:szCs w:val="20"/>
              </w:rPr>
            </w:pPr>
            <w:r w:rsidRPr="008458B4">
              <w:rPr>
                <w:rFonts w:ascii="Arial" w:hAnsi="Arial" w:cs="Arial"/>
                <w:b/>
                <w:sz w:val="20"/>
                <w:szCs w:val="20"/>
              </w:rPr>
              <w:t>Date of approval</w:t>
            </w:r>
          </w:p>
        </w:tc>
        <w:tc>
          <w:tcPr>
            <w:tcW w:w="1984" w:type="dxa"/>
          </w:tcPr>
          <w:p w14:paraId="651565B2" w14:textId="77777777" w:rsidR="006D7F7B" w:rsidRPr="008458B4" w:rsidRDefault="000B38A1" w:rsidP="00995582">
            <w:pPr>
              <w:rPr>
                <w:rFonts w:ascii="Arial" w:hAnsi="Arial" w:cs="Arial"/>
                <w:b/>
                <w:sz w:val="20"/>
                <w:szCs w:val="20"/>
              </w:rPr>
            </w:pPr>
            <w:r w:rsidRPr="008458B4">
              <w:rPr>
                <w:rFonts w:ascii="Arial" w:hAnsi="Arial" w:cs="Arial"/>
                <w:b/>
                <w:sz w:val="20"/>
                <w:szCs w:val="20"/>
              </w:rPr>
              <w:t>Date for Review</w:t>
            </w:r>
          </w:p>
        </w:tc>
        <w:tc>
          <w:tcPr>
            <w:tcW w:w="3827" w:type="dxa"/>
          </w:tcPr>
          <w:p w14:paraId="00EB50AF" w14:textId="77777777" w:rsidR="006D7F7B" w:rsidRPr="008458B4" w:rsidRDefault="006D7F7B" w:rsidP="00995582">
            <w:pPr>
              <w:rPr>
                <w:rFonts w:ascii="Arial" w:hAnsi="Arial" w:cs="Arial"/>
                <w:b/>
                <w:sz w:val="20"/>
                <w:szCs w:val="20"/>
              </w:rPr>
            </w:pPr>
            <w:r w:rsidRPr="008458B4">
              <w:rPr>
                <w:rFonts w:ascii="Arial" w:hAnsi="Arial" w:cs="Arial"/>
                <w:b/>
                <w:sz w:val="20"/>
                <w:szCs w:val="20"/>
              </w:rPr>
              <w:t>Implementation</w:t>
            </w:r>
          </w:p>
        </w:tc>
        <w:tc>
          <w:tcPr>
            <w:tcW w:w="3747" w:type="dxa"/>
          </w:tcPr>
          <w:p w14:paraId="5E82F615" w14:textId="77777777" w:rsidR="006D7F7B" w:rsidRPr="008458B4" w:rsidRDefault="006D7F7B" w:rsidP="00995582">
            <w:pPr>
              <w:rPr>
                <w:rFonts w:ascii="Arial" w:hAnsi="Arial" w:cs="Arial"/>
                <w:b/>
                <w:sz w:val="20"/>
                <w:szCs w:val="20"/>
              </w:rPr>
            </w:pPr>
            <w:r w:rsidRPr="008458B4">
              <w:rPr>
                <w:rFonts w:ascii="Arial" w:hAnsi="Arial" w:cs="Arial"/>
                <w:b/>
                <w:sz w:val="20"/>
                <w:szCs w:val="20"/>
              </w:rPr>
              <w:t>Implications for course design</w:t>
            </w:r>
          </w:p>
        </w:tc>
      </w:tr>
      <w:tr w:rsidR="002B0C50" w:rsidRPr="004055BD" w14:paraId="76C39C11" w14:textId="77777777" w:rsidTr="008458B4">
        <w:tc>
          <w:tcPr>
            <w:tcW w:w="2405" w:type="dxa"/>
            <w:shd w:val="clear" w:color="auto" w:fill="auto"/>
          </w:tcPr>
          <w:p w14:paraId="3D9E68B7" w14:textId="77777777" w:rsidR="00D90962" w:rsidRDefault="006712D7" w:rsidP="00A37167">
            <w:pPr>
              <w:rPr>
                <w:rFonts w:ascii="Arial" w:hAnsi="Arial" w:cs="Arial"/>
                <w:color w:val="000000" w:themeColor="text1"/>
                <w:sz w:val="20"/>
                <w:szCs w:val="20"/>
              </w:rPr>
            </w:pPr>
            <w:hyperlink r:id="rId11" w:history="1">
              <w:r w:rsidR="00321910">
                <w:rPr>
                  <w:rStyle w:val="Hyperlink"/>
                  <w:rFonts w:ascii="Arial" w:hAnsi="Arial" w:cs="Arial"/>
                  <w:sz w:val="20"/>
                  <w:szCs w:val="20"/>
                </w:rPr>
                <w:t>Admissions Policy</w:t>
              </w:r>
            </w:hyperlink>
            <w:r w:rsidR="00321910">
              <w:rPr>
                <w:rFonts w:ascii="Arial" w:hAnsi="Arial" w:cs="Arial"/>
                <w:color w:val="000000" w:themeColor="text1"/>
                <w:sz w:val="20"/>
                <w:szCs w:val="20"/>
              </w:rPr>
              <w:t xml:space="preserve"> </w:t>
            </w:r>
          </w:p>
          <w:p w14:paraId="0123FE37" w14:textId="77777777" w:rsidR="00321910" w:rsidRPr="00D90962" w:rsidRDefault="00321910" w:rsidP="00A37167">
            <w:pPr>
              <w:rPr>
                <w:rFonts w:ascii="Arial" w:hAnsi="Arial" w:cs="Arial"/>
                <w:color w:val="000000" w:themeColor="text1"/>
                <w:sz w:val="20"/>
                <w:szCs w:val="20"/>
                <w:highlight w:val="yellow"/>
              </w:rPr>
            </w:pPr>
          </w:p>
        </w:tc>
        <w:tc>
          <w:tcPr>
            <w:tcW w:w="1985" w:type="dxa"/>
            <w:shd w:val="clear" w:color="auto" w:fill="auto"/>
          </w:tcPr>
          <w:p w14:paraId="5CDC2D44" w14:textId="77777777" w:rsidR="002B0C50" w:rsidRPr="00321910" w:rsidRDefault="002B0C50" w:rsidP="00476C92">
            <w:pPr>
              <w:rPr>
                <w:rFonts w:ascii="Arial" w:hAnsi="Arial" w:cs="Arial"/>
                <w:sz w:val="20"/>
                <w:szCs w:val="20"/>
              </w:rPr>
            </w:pPr>
            <w:r w:rsidRPr="00321910">
              <w:rPr>
                <w:rFonts w:ascii="Arial" w:hAnsi="Arial" w:cs="Arial"/>
                <w:sz w:val="20"/>
                <w:szCs w:val="20"/>
              </w:rPr>
              <w:t>July 2010</w:t>
            </w:r>
            <w:r w:rsidR="001D278D" w:rsidRPr="00321910">
              <w:rPr>
                <w:rFonts w:ascii="Arial" w:hAnsi="Arial" w:cs="Arial"/>
                <w:sz w:val="20"/>
                <w:szCs w:val="20"/>
              </w:rPr>
              <w:t>,</w:t>
            </w:r>
          </w:p>
          <w:p w14:paraId="05C166C5" w14:textId="77777777" w:rsidR="001D278D" w:rsidRPr="00321910" w:rsidRDefault="00951E6F" w:rsidP="00600CD6">
            <w:pPr>
              <w:rPr>
                <w:rFonts w:ascii="Arial" w:hAnsi="Arial" w:cs="Arial"/>
                <w:sz w:val="20"/>
                <w:szCs w:val="20"/>
              </w:rPr>
            </w:pPr>
            <w:r>
              <w:rPr>
                <w:rFonts w:ascii="Arial" w:hAnsi="Arial" w:cs="Arial"/>
                <w:sz w:val="20"/>
                <w:szCs w:val="20"/>
              </w:rPr>
              <w:t>Updated annually</w:t>
            </w:r>
          </w:p>
        </w:tc>
        <w:tc>
          <w:tcPr>
            <w:tcW w:w="1984" w:type="dxa"/>
            <w:shd w:val="clear" w:color="auto" w:fill="auto"/>
          </w:tcPr>
          <w:p w14:paraId="67904312" w14:textId="77777777" w:rsidR="002B0C50" w:rsidRPr="00321910" w:rsidRDefault="00176C37" w:rsidP="00176C37">
            <w:pPr>
              <w:rPr>
                <w:rFonts w:ascii="Arial" w:hAnsi="Arial" w:cs="Arial"/>
                <w:sz w:val="20"/>
                <w:szCs w:val="20"/>
              </w:rPr>
            </w:pPr>
            <w:r>
              <w:rPr>
                <w:rFonts w:ascii="Arial" w:hAnsi="Arial" w:cs="Arial"/>
                <w:sz w:val="20"/>
                <w:szCs w:val="20"/>
              </w:rPr>
              <w:t>Annually</w:t>
            </w:r>
          </w:p>
        </w:tc>
        <w:tc>
          <w:tcPr>
            <w:tcW w:w="3827" w:type="dxa"/>
            <w:shd w:val="clear" w:color="auto" w:fill="auto"/>
          </w:tcPr>
          <w:p w14:paraId="2469E986" w14:textId="77777777" w:rsidR="002B0C50" w:rsidRPr="00A52E00" w:rsidRDefault="002B0C50" w:rsidP="00D50BA1">
            <w:pPr>
              <w:rPr>
                <w:rFonts w:ascii="Arial" w:hAnsi="Arial" w:cs="Arial"/>
                <w:sz w:val="20"/>
                <w:szCs w:val="20"/>
              </w:rPr>
            </w:pPr>
            <w:r w:rsidRPr="00A52E00">
              <w:rPr>
                <w:rFonts w:ascii="Arial" w:hAnsi="Arial" w:cs="Arial"/>
                <w:sz w:val="20"/>
                <w:szCs w:val="20"/>
              </w:rPr>
              <w:t xml:space="preserve">Sets principles for admissions and </w:t>
            </w:r>
            <w:r w:rsidR="00D50BA1" w:rsidRPr="00A52E00">
              <w:rPr>
                <w:rFonts w:ascii="Arial" w:hAnsi="Arial" w:cs="Arial"/>
                <w:color w:val="000000"/>
                <w:sz w:val="20"/>
                <w:szCs w:val="20"/>
              </w:rPr>
              <w:t>minimum</w:t>
            </w:r>
            <w:r w:rsidRPr="00A52E00">
              <w:rPr>
                <w:rFonts w:ascii="Arial" w:hAnsi="Arial" w:cs="Arial"/>
                <w:color w:val="FF0000"/>
                <w:sz w:val="20"/>
                <w:szCs w:val="20"/>
              </w:rPr>
              <w:t xml:space="preserve"> </w:t>
            </w:r>
            <w:r w:rsidRPr="00A52E00">
              <w:rPr>
                <w:rFonts w:ascii="Arial" w:hAnsi="Arial" w:cs="Arial"/>
                <w:sz w:val="20"/>
                <w:szCs w:val="20"/>
              </w:rPr>
              <w:t>entry requirements for undergraduate courses.</w:t>
            </w:r>
          </w:p>
        </w:tc>
        <w:tc>
          <w:tcPr>
            <w:tcW w:w="3747" w:type="dxa"/>
          </w:tcPr>
          <w:p w14:paraId="0E30874F" w14:textId="77777777" w:rsidR="002B0C50" w:rsidRPr="0085204E" w:rsidRDefault="002B0C50" w:rsidP="00476C92">
            <w:pPr>
              <w:rPr>
                <w:rFonts w:ascii="Arial" w:hAnsi="Arial" w:cs="Arial"/>
                <w:sz w:val="20"/>
                <w:szCs w:val="20"/>
              </w:rPr>
            </w:pPr>
            <w:r>
              <w:rPr>
                <w:rFonts w:ascii="Arial" w:hAnsi="Arial" w:cs="Arial"/>
                <w:sz w:val="20"/>
                <w:szCs w:val="20"/>
              </w:rPr>
              <w:t>Important point of reference in establishing course admissions policies.</w:t>
            </w:r>
          </w:p>
        </w:tc>
      </w:tr>
      <w:tr w:rsidR="00ED7715" w:rsidRPr="004055BD" w14:paraId="4320BBFF" w14:textId="77777777" w:rsidTr="008458B4">
        <w:tc>
          <w:tcPr>
            <w:tcW w:w="2405" w:type="dxa"/>
            <w:shd w:val="clear" w:color="auto" w:fill="auto"/>
          </w:tcPr>
          <w:p w14:paraId="4947251F" w14:textId="77777777" w:rsidR="007C3284" w:rsidRDefault="006712D7" w:rsidP="00476C92">
            <w:pPr>
              <w:rPr>
                <w:rStyle w:val="Hyperlink"/>
                <w:rFonts w:ascii="Arial" w:hAnsi="Arial" w:cs="Arial"/>
                <w:sz w:val="20"/>
                <w:szCs w:val="20"/>
              </w:rPr>
            </w:pPr>
            <w:hyperlink r:id="rId12" w:history="1">
              <w:r w:rsidR="007C3284" w:rsidRPr="007C3284">
                <w:rPr>
                  <w:rStyle w:val="Hyperlink"/>
                  <w:rFonts w:ascii="Arial" w:hAnsi="Arial" w:cs="Arial"/>
                  <w:sz w:val="20"/>
                  <w:szCs w:val="20"/>
                </w:rPr>
                <w:t>Assessment Policy</w:t>
              </w:r>
            </w:hyperlink>
          </w:p>
          <w:p w14:paraId="79806D29" w14:textId="77777777" w:rsidR="009E7E62" w:rsidRPr="00923B54" w:rsidRDefault="002B20B2" w:rsidP="00923B54">
            <w:pPr>
              <w:rPr>
                <w:rFonts w:ascii="Arial" w:hAnsi="Arial" w:cs="Arial"/>
                <w:sz w:val="20"/>
                <w:szCs w:val="20"/>
                <w:highlight w:val="yellow"/>
              </w:rPr>
            </w:pPr>
            <w:r w:rsidRPr="00923B54">
              <w:rPr>
                <w:rFonts w:ascii="Arial" w:hAnsi="Arial" w:cs="Arial"/>
                <w:sz w:val="20"/>
                <w:szCs w:val="20"/>
                <w:highlight w:val="yellow"/>
              </w:rPr>
              <w:t xml:space="preserve"> </w:t>
            </w:r>
          </w:p>
        </w:tc>
        <w:tc>
          <w:tcPr>
            <w:tcW w:w="1985" w:type="dxa"/>
            <w:shd w:val="clear" w:color="auto" w:fill="auto"/>
          </w:tcPr>
          <w:p w14:paraId="4EE8C776" w14:textId="77777777" w:rsidR="00ED7715" w:rsidRPr="007C3284" w:rsidRDefault="00ED7715" w:rsidP="00476C92">
            <w:pPr>
              <w:rPr>
                <w:rFonts w:ascii="Arial" w:hAnsi="Arial" w:cs="Arial"/>
                <w:sz w:val="20"/>
                <w:szCs w:val="20"/>
              </w:rPr>
            </w:pPr>
            <w:r w:rsidRPr="007C3284">
              <w:rPr>
                <w:rFonts w:ascii="Arial" w:hAnsi="Arial" w:cs="Arial"/>
                <w:sz w:val="20"/>
                <w:szCs w:val="20"/>
              </w:rPr>
              <w:t>April 2010</w:t>
            </w:r>
            <w:r w:rsidR="00E370C7">
              <w:rPr>
                <w:rFonts w:ascii="Arial" w:hAnsi="Arial" w:cs="Arial"/>
                <w:sz w:val="20"/>
                <w:szCs w:val="20"/>
              </w:rPr>
              <w:t>, and reviewed, updated annually</w:t>
            </w:r>
          </w:p>
        </w:tc>
        <w:tc>
          <w:tcPr>
            <w:tcW w:w="1984" w:type="dxa"/>
            <w:shd w:val="clear" w:color="auto" w:fill="auto"/>
          </w:tcPr>
          <w:p w14:paraId="5338E696" w14:textId="77777777" w:rsidR="00ED7715" w:rsidRPr="00176C37" w:rsidRDefault="00176C37" w:rsidP="00476C92">
            <w:pPr>
              <w:rPr>
                <w:rFonts w:ascii="Arial" w:hAnsi="Arial" w:cs="Arial"/>
                <w:sz w:val="20"/>
                <w:szCs w:val="20"/>
              </w:rPr>
            </w:pPr>
            <w:r w:rsidRPr="00176C37">
              <w:rPr>
                <w:rFonts w:ascii="Arial" w:hAnsi="Arial" w:cs="Arial"/>
                <w:sz w:val="20"/>
                <w:szCs w:val="20"/>
              </w:rPr>
              <w:t>Annually</w:t>
            </w:r>
            <w:r>
              <w:rPr>
                <w:rFonts w:ascii="Arial" w:hAnsi="Arial" w:cs="Arial"/>
                <w:sz w:val="20"/>
                <w:szCs w:val="20"/>
              </w:rPr>
              <w:t xml:space="preserve"> (to be updated summer 2019 to reflect agreed amendments etc)</w:t>
            </w:r>
          </w:p>
        </w:tc>
        <w:tc>
          <w:tcPr>
            <w:tcW w:w="3827" w:type="dxa"/>
            <w:shd w:val="clear" w:color="auto" w:fill="auto"/>
          </w:tcPr>
          <w:p w14:paraId="48F2F7D6" w14:textId="77777777" w:rsidR="00ED7715" w:rsidRPr="00A52E00" w:rsidRDefault="00176C37" w:rsidP="00476C92">
            <w:pPr>
              <w:rPr>
                <w:rFonts w:ascii="Arial" w:hAnsi="Arial" w:cs="Arial"/>
                <w:sz w:val="20"/>
                <w:szCs w:val="20"/>
              </w:rPr>
            </w:pPr>
            <w:r>
              <w:rPr>
                <w:rFonts w:ascii="Arial" w:hAnsi="Arial" w:cs="Arial"/>
                <w:sz w:val="20"/>
                <w:szCs w:val="20"/>
              </w:rPr>
              <w:t>Requires all Schools/</w:t>
            </w:r>
            <w:r w:rsidR="00ED7715" w:rsidRPr="00A52E00">
              <w:rPr>
                <w:rFonts w:ascii="Arial" w:hAnsi="Arial" w:cs="Arial"/>
                <w:sz w:val="20"/>
                <w:szCs w:val="20"/>
              </w:rPr>
              <w:t>courses to have own formal statement of processes/ procedures for moderation of assessments and marking; recent update provides guidance on module assessment loading.</w:t>
            </w:r>
          </w:p>
          <w:p w14:paraId="4E0F6EEB" w14:textId="77777777" w:rsidR="00ED7715" w:rsidRDefault="00ED7715" w:rsidP="00455A81">
            <w:pPr>
              <w:rPr>
                <w:rFonts w:ascii="Arial" w:hAnsi="Arial" w:cs="Arial"/>
                <w:sz w:val="20"/>
                <w:szCs w:val="20"/>
              </w:rPr>
            </w:pPr>
          </w:p>
          <w:p w14:paraId="14FCB93C" w14:textId="11463943" w:rsidR="00747D13" w:rsidRPr="00A52E00" w:rsidRDefault="00747D13" w:rsidP="00455A81">
            <w:pPr>
              <w:rPr>
                <w:rFonts w:ascii="Arial" w:hAnsi="Arial" w:cs="Arial"/>
                <w:sz w:val="20"/>
                <w:szCs w:val="20"/>
              </w:rPr>
            </w:pPr>
          </w:p>
        </w:tc>
        <w:tc>
          <w:tcPr>
            <w:tcW w:w="3747" w:type="dxa"/>
          </w:tcPr>
          <w:p w14:paraId="3E5AF974" w14:textId="77777777" w:rsidR="00ED7715" w:rsidRPr="004055BD" w:rsidRDefault="00ED7715" w:rsidP="00476C92">
            <w:pPr>
              <w:rPr>
                <w:rFonts w:ascii="Arial" w:hAnsi="Arial" w:cs="Arial"/>
                <w:sz w:val="20"/>
                <w:szCs w:val="20"/>
              </w:rPr>
            </w:pPr>
            <w:r w:rsidRPr="004055BD">
              <w:rPr>
                <w:rFonts w:ascii="Arial" w:hAnsi="Arial" w:cs="Arial"/>
                <w:sz w:val="20"/>
                <w:szCs w:val="20"/>
              </w:rPr>
              <w:t>Essential point of reference for design of course and module assessment strategies, and also for establishing arrangements for moderation.</w:t>
            </w:r>
          </w:p>
        </w:tc>
      </w:tr>
      <w:tr w:rsidR="00ED7715" w:rsidRPr="004055BD" w14:paraId="2B29A5EE" w14:textId="77777777" w:rsidTr="008458B4">
        <w:tc>
          <w:tcPr>
            <w:tcW w:w="2405" w:type="dxa"/>
            <w:shd w:val="clear" w:color="auto" w:fill="auto"/>
          </w:tcPr>
          <w:p w14:paraId="59D8EBD8" w14:textId="77777777" w:rsidR="00EB5C48" w:rsidRDefault="006712D7" w:rsidP="009779D2">
            <w:pPr>
              <w:rPr>
                <w:rFonts w:ascii="Arial" w:hAnsi="Arial" w:cs="Arial"/>
                <w:sz w:val="20"/>
                <w:szCs w:val="20"/>
              </w:rPr>
            </w:pPr>
            <w:hyperlink r:id="rId13" w:history="1">
              <w:r w:rsidR="00927829">
                <w:rPr>
                  <w:rStyle w:val="Hyperlink"/>
                  <w:rFonts w:ascii="Arial" w:hAnsi="Arial" w:cs="Arial"/>
                  <w:sz w:val="20"/>
                  <w:szCs w:val="20"/>
                </w:rPr>
                <w:t xml:space="preserve">Grade Descriptors – Level 4-6 (UG) </w:t>
              </w:r>
            </w:hyperlink>
            <w:r w:rsidR="00927829">
              <w:rPr>
                <w:rFonts w:ascii="Arial" w:hAnsi="Arial" w:cs="Arial"/>
                <w:sz w:val="20"/>
                <w:szCs w:val="20"/>
              </w:rPr>
              <w:t xml:space="preserve"> </w:t>
            </w:r>
          </w:p>
          <w:p w14:paraId="71DC9EDF" w14:textId="77777777" w:rsidR="00B31B31" w:rsidRPr="004055BD" w:rsidRDefault="00B31B31" w:rsidP="009779D2">
            <w:pPr>
              <w:rPr>
                <w:rFonts w:ascii="Arial" w:hAnsi="Arial" w:cs="Arial"/>
                <w:sz w:val="20"/>
                <w:szCs w:val="20"/>
              </w:rPr>
            </w:pPr>
          </w:p>
        </w:tc>
        <w:tc>
          <w:tcPr>
            <w:tcW w:w="1985" w:type="dxa"/>
            <w:shd w:val="clear" w:color="auto" w:fill="auto"/>
          </w:tcPr>
          <w:p w14:paraId="37C7D64F" w14:textId="77777777" w:rsidR="001D278D" w:rsidRPr="00A52E00" w:rsidRDefault="00ED7715" w:rsidP="009779D2">
            <w:pPr>
              <w:rPr>
                <w:rFonts w:ascii="Arial" w:hAnsi="Arial" w:cs="Arial"/>
                <w:sz w:val="20"/>
                <w:szCs w:val="20"/>
              </w:rPr>
            </w:pPr>
            <w:r w:rsidRPr="00A52E00">
              <w:rPr>
                <w:rFonts w:ascii="Arial" w:hAnsi="Arial" w:cs="Arial"/>
                <w:sz w:val="20"/>
                <w:szCs w:val="20"/>
              </w:rPr>
              <w:t>June 2007</w:t>
            </w:r>
            <w:r w:rsidR="001D278D" w:rsidRPr="00A52E00">
              <w:rPr>
                <w:rFonts w:ascii="Arial" w:hAnsi="Arial" w:cs="Arial"/>
                <w:sz w:val="20"/>
                <w:szCs w:val="20"/>
              </w:rPr>
              <w:t xml:space="preserve">, </w:t>
            </w:r>
          </w:p>
          <w:p w14:paraId="087573F0" w14:textId="77777777" w:rsidR="00ED7715" w:rsidRPr="00A52E00" w:rsidRDefault="001D278D" w:rsidP="009779D2">
            <w:pPr>
              <w:rPr>
                <w:rFonts w:ascii="Arial" w:hAnsi="Arial" w:cs="Arial"/>
                <w:sz w:val="20"/>
                <w:szCs w:val="20"/>
              </w:rPr>
            </w:pPr>
            <w:r w:rsidRPr="00A52E00">
              <w:rPr>
                <w:rFonts w:ascii="Arial" w:hAnsi="Arial" w:cs="Arial"/>
                <w:sz w:val="20"/>
                <w:szCs w:val="20"/>
              </w:rPr>
              <w:t>revised July 2011</w:t>
            </w:r>
          </w:p>
        </w:tc>
        <w:tc>
          <w:tcPr>
            <w:tcW w:w="1984" w:type="dxa"/>
            <w:shd w:val="clear" w:color="auto" w:fill="auto"/>
          </w:tcPr>
          <w:p w14:paraId="1CED6C7F" w14:textId="77777777" w:rsidR="00600CD6" w:rsidRPr="005C34EF" w:rsidRDefault="00951E6F" w:rsidP="00600CD6">
            <w:pPr>
              <w:rPr>
                <w:rFonts w:ascii="Arial" w:hAnsi="Arial" w:cs="Arial"/>
                <w:sz w:val="20"/>
                <w:szCs w:val="20"/>
              </w:rPr>
            </w:pPr>
            <w:r w:rsidRPr="005C34EF">
              <w:rPr>
                <w:rFonts w:ascii="Arial" w:hAnsi="Arial" w:cs="Arial"/>
                <w:sz w:val="20"/>
                <w:szCs w:val="20"/>
              </w:rPr>
              <w:t>2016/17</w:t>
            </w:r>
            <w:r w:rsidR="00176C37">
              <w:rPr>
                <w:rFonts w:ascii="Arial" w:hAnsi="Arial" w:cs="Arial"/>
                <w:sz w:val="20"/>
                <w:szCs w:val="20"/>
              </w:rPr>
              <w:t xml:space="preserve"> (to be reviewed 2019/20)</w:t>
            </w:r>
          </w:p>
        </w:tc>
        <w:tc>
          <w:tcPr>
            <w:tcW w:w="3827" w:type="dxa"/>
            <w:shd w:val="clear" w:color="auto" w:fill="auto"/>
          </w:tcPr>
          <w:p w14:paraId="5B68015A" w14:textId="77777777" w:rsidR="00ED7715" w:rsidRPr="00A52E00" w:rsidRDefault="00ED7715" w:rsidP="009779D2">
            <w:pPr>
              <w:rPr>
                <w:rFonts w:ascii="Arial" w:hAnsi="Arial" w:cs="Arial"/>
                <w:sz w:val="20"/>
                <w:szCs w:val="20"/>
              </w:rPr>
            </w:pPr>
            <w:r w:rsidRPr="00A52E00">
              <w:rPr>
                <w:rFonts w:ascii="Arial" w:hAnsi="Arial" w:cs="Arial"/>
                <w:sz w:val="20"/>
                <w:szCs w:val="20"/>
              </w:rPr>
              <w:t xml:space="preserve">Important reference point for establishing module/assignment specific marking criteria. </w:t>
            </w:r>
          </w:p>
        </w:tc>
        <w:tc>
          <w:tcPr>
            <w:tcW w:w="3747" w:type="dxa"/>
          </w:tcPr>
          <w:p w14:paraId="4008C2E5" w14:textId="77777777" w:rsidR="00ED7715" w:rsidRPr="004055BD" w:rsidRDefault="00ED7715" w:rsidP="00A40269">
            <w:pPr>
              <w:rPr>
                <w:rFonts w:ascii="Arial" w:hAnsi="Arial" w:cs="Arial"/>
                <w:sz w:val="20"/>
                <w:szCs w:val="20"/>
              </w:rPr>
            </w:pPr>
          </w:p>
        </w:tc>
      </w:tr>
      <w:tr w:rsidR="00ED7715" w:rsidRPr="004055BD" w14:paraId="01A70E2E" w14:textId="77777777" w:rsidTr="008458B4">
        <w:trPr>
          <w:trHeight w:val="710"/>
        </w:trPr>
        <w:tc>
          <w:tcPr>
            <w:tcW w:w="2405" w:type="dxa"/>
            <w:shd w:val="clear" w:color="auto" w:fill="auto"/>
          </w:tcPr>
          <w:p w14:paraId="77CF7406" w14:textId="77777777" w:rsidR="00600CD6" w:rsidRPr="00065DD2" w:rsidRDefault="006712D7" w:rsidP="00065DD2">
            <w:pPr>
              <w:rPr>
                <w:rFonts w:ascii="Arial" w:hAnsi="Arial" w:cs="Arial"/>
                <w:sz w:val="20"/>
                <w:szCs w:val="20"/>
              </w:rPr>
            </w:pPr>
            <w:hyperlink r:id="rId14" w:history="1">
              <w:r w:rsidR="00065DD2" w:rsidRPr="00065DD2">
                <w:rPr>
                  <w:rStyle w:val="Hyperlink"/>
                  <w:rFonts w:ascii="Arial" w:hAnsi="Arial" w:cs="Arial"/>
                  <w:sz w:val="20"/>
                  <w:szCs w:val="20"/>
                </w:rPr>
                <w:t xml:space="preserve">Grade Descriptors </w:t>
              </w:r>
              <w:r w:rsidR="00065DD2">
                <w:rPr>
                  <w:rStyle w:val="Hyperlink"/>
                  <w:rFonts w:ascii="Arial" w:hAnsi="Arial" w:cs="Arial"/>
                  <w:sz w:val="20"/>
                  <w:szCs w:val="20"/>
                </w:rPr>
                <w:t xml:space="preserve">- </w:t>
              </w:r>
              <w:r w:rsidR="00065DD2" w:rsidRPr="00065DD2">
                <w:rPr>
                  <w:rStyle w:val="Hyperlink"/>
                  <w:rFonts w:ascii="Arial" w:hAnsi="Arial" w:cs="Arial"/>
                  <w:sz w:val="20"/>
                  <w:szCs w:val="20"/>
                </w:rPr>
                <w:t>Level 7 (Masters)</w:t>
              </w:r>
            </w:hyperlink>
          </w:p>
        </w:tc>
        <w:tc>
          <w:tcPr>
            <w:tcW w:w="1985" w:type="dxa"/>
            <w:shd w:val="clear" w:color="auto" w:fill="auto"/>
          </w:tcPr>
          <w:p w14:paraId="6CA2FED7" w14:textId="77777777" w:rsidR="00ED7715" w:rsidRPr="00A52E00" w:rsidRDefault="00ED7715" w:rsidP="009779D2">
            <w:pPr>
              <w:rPr>
                <w:rFonts w:ascii="Arial" w:hAnsi="Arial" w:cs="Arial"/>
                <w:sz w:val="20"/>
                <w:szCs w:val="20"/>
              </w:rPr>
            </w:pPr>
            <w:r w:rsidRPr="00A52E00">
              <w:rPr>
                <w:rFonts w:ascii="Arial" w:hAnsi="Arial" w:cs="Arial"/>
                <w:sz w:val="20"/>
                <w:szCs w:val="20"/>
              </w:rPr>
              <w:t>June 2008</w:t>
            </w:r>
            <w:r w:rsidR="001D278D" w:rsidRPr="00A52E00">
              <w:rPr>
                <w:rFonts w:ascii="Arial" w:hAnsi="Arial" w:cs="Arial"/>
                <w:sz w:val="20"/>
                <w:szCs w:val="20"/>
              </w:rPr>
              <w:t>,</w:t>
            </w:r>
          </w:p>
          <w:p w14:paraId="44177744" w14:textId="77777777" w:rsidR="001D278D" w:rsidRPr="00A52E00" w:rsidRDefault="001D278D" w:rsidP="009779D2">
            <w:pPr>
              <w:rPr>
                <w:rFonts w:ascii="Arial" w:hAnsi="Arial" w:cs="Arial"/>
                <w:sz w:val="20"/>
                <w:szCs w:val="20"/>
              </w:rPr>
            </w:pPr>
            <w:r w:rsidRPr="00A52E00">
              <w:rPr>
                <w:rFonts w:ascii="Arial" w:hAnsi="Arial" w:cs="Arial"/>
                <w:sz w:val="20"/>
                <w:szCs w:val="20"/>
              </w:rPr>
              <w:t>revised July 2011</w:t>
            </w:r>
          </w:p>
        </w:tc>
        <w:tc>
          <w:tcPr>
            <w:tcW w:w="1984" w:type="dxa"/>
            <w:shd w:val="clear" w:color="auto" w:fill="auto"/>
          </w:tcPr>
          <w:p w14:paraId="53473A9A" w14:textId="77777777" w:rsidR="00600CD6" w:rsidRPr="00680A72" w:rsidRDefault="00951E6F" w:rsidP="00065DD2">
            <w:pPr>
              <w:rPr>
                <w:rFonts w:ascii="Arial" w:hAnsi="Arial" w:cs="Arial"/>
                <w:sz w:val="20"/>
                <w:szCs w:val="20"/>
              </w:rPr>
            </w:pPr>
            <w:r w:rsidRPr="00680A72">
              <w:rPr>
                <w:rFonts w:ascii="Arial" w:hAnsi="Arial" w:cs="Arial"/>
                <w:sz w:val="20"/>
                <w:szCs w:val="20"/>
              </w:rPr>
              <w:t>201</w:t>
            </w:r>
            <w:r w:rsidR="00065DD2" w:rsidRPr="00680A72">
              <w:rPr>
                <w:rFonts w:ascii="Arial" w:hAnsi="Arial" w:cs="Arial"/>
                <w:sz w:val="20"/>
                <w:szCs w:val="20"/>
              </w:rPr>
              <w:t>8</w:t>
            </w:r>
            <w:r w:rsidRPr="00680A72">
              <w:rPr>
                <w:rFonts w:ascii="Arial" w:hAnsi="Arial" w:cs="Arial"/>
                <w:sz w:val="20"/>
                <w:szCs w:val="20"/>
              </w:rPr>
              <w:t>/1</w:t>
            </w:r>
            <w:r w:rsidR="00065DD2" w:rsidRPr="00680A72">
              <w:rPr>
                <w:rFonts w:ascii="Arial" w:hAnsi="Arial" w:cs="Arial"/>
                <w:sz w:val="20"/>
                <w:szCs w:val="20"/>
              </w:rPr>
              <w:t>9</w:t>
            </w:r>
            <w:r w:rsidR="00176C37">
              <w:rPr>
                <w:rFonts w:ascii="Arial" w:hAnsi="Arial" w:cs="Arial"/>
                <w:sz w:val="20"/>
                <w:szCs w:val="20"/>
              </w:rPr>
              <w:t xml:space="preserve"> (to be reviewed 2019/20)</w:t>
            </w:r>
          </w:p>
        </w:tc>
        <w:tc>
          <w:tcPr>
            <w:tcW w:w="3827" w:type="dxa"/>
            <w:shd w:val="clear" w:color="auto" w:fill="auto"/>
          </w:tcPr>
          <w:p w14:paraId="6EA00A0C" w14:textId="77777777" w:rsidR="00ED7715" w:rsidRDefault="00ED7715" w:rsidP="009779D2">
            <w:pPr>
              <w:rPr>
                <w:rFonts w:ascii="Arial" w:hAnsi="Arial" w:cs="Arial"/>
                <w:sz w:val="20"/>
                <w:szCs w:val="20"/>
              </w:rPr>
            </w:pPr>
            <w:r w:rsidRPr="00680A72">
              <w:rPr>
                <w:rFonts w:ascii="Arial" w:hAnsi="Arial" w:cs="Arial"/>
                <w:sz w:val="20"/>
                <w:szCs w:val="20"/>
              </w:rPr>
              <w:t>Important reference point for establishing module/assignment specific marking criteria.</w:t>
            </w:r>
          </w:p>
          <w:p w14:paraId="0CAE61FA" w14:textId="77777777" w:rsidR="00065DD2" w:rsidRPr="00680A72" w:rsidRDefault="00065DD2" w:rsidP="009779D2">
            <w:pPr>
              <w:rPr>
                <w:rFonts w:ascii="Arial" w:hAnsi="Arial" w:cs="Arial"/>
                <w:sz w:val="20"/>
                <w:szCs w:val="20"/>
              </w:rPr>
            </w:pPr>
          </w:p>
        </w:tc>
        <w:tc>
          <w:tcPr>
            <w:tcW w:w="3747" w:type="dxa"/>
          </w:tcPr>
          <w:p w14:paraId="18F171CA" w14:textId="77777777" w:rsidR="00ED7715" w:rsidRPr="004055BD" w:rsidRDefault="00ED7715" w:rsidP="00A40269">
            <w:pPr>
              <w:rPr>
                <w:rFonts w:ascii="Arial" w:hAnsi="Arial" w:cs="Arial"/>
                <w:sz w:val="20"/>
                <w:szCs w:val="20"/>
              </w:rPr>
            </w:pPr>
          </w:p>
        </w:tc>
      </w:tr>
      <w:tr w:rsidR="002A7063" w:rsidRPr="004055BD" w14:paraId="1FD64B2A" w14:textId="77777777" w:rsidTr="008458B4">
        <w:tc>
          <w:tcPr>
            <w:tcW w:w="2405" w:type="dxa"/>
            <w:shd w:val="clear" w:color="auto" w:fill="auto"/>
          </w:tcPr>
          <w:p w14:paraId="00D7AC3E" w14:textId="77777777" w:rsidR="00364AF7" w:rsidRPr="00B644EB" w:rsidRDefault="006712D7" w:rsidP="000A6038">
            <w:pPr>
              <w:rPr>
                <w:rFonts w:ascii="Arial" w:hAnsi="Arial" w:cs="Arial"/>
                <w:sz w:val="20"/>
                <w:szCs w:val="20"/>
              </w:rPr>
            </w:pPr>
            <w:hyperlink r:id="rId15" w:history="1">
              <w:r w:rsidR="00364AF7" w:rsidRPr="00B644EB">
                <w:rPr>
                  <w:rStyle w:val="Hyperlink"/>
                  <w:rFonts w:ascii="Arial" w:hAnsi="Arial" w:cs="Arial"/>
                  <w:sz w:val="20"/>
                  <w:szCs w:val="20"/>
                </w:rPr>
                <w:t>Grade Descriptors – Level 8 (PGR)</w:t>
              </w:r>
            </w:hyperlink>
            <w:r w:rsidR="00364AF7" w:rsidRPr="00B644EB">
              <w:rPr>
                <w:rFonts w:ascii="Arial" w:hAnsi="Arial" w:cs="Arial"/>
                <w:sz w:val="20"/>
                <w:szCs w:val="20"/>
              </w:rPr>
              <w:t xml:space="preserve"> </w:t>
            </w:r>
          </w:p>
          <w:p w14:paraId="6CF77C78" w14:textId="77777777" w:rsidR="00141646" w:rsidRPr="00B644EB" w:rsidRDefault="00141646" w:rsidP="000A6038">
            <w:pPr>
              <w:rPr>
                <w:rFonts w:ascii="Arial" w:hAnsi="Arial" w:cs="Arial"/>
                <w:sz w:val="20"/>
                <w:szCs w:val="20"/>
              </w:rPr>
            </w:pPr>
          </w:p>
          <w:p w14:paraId="6D6F0AE7" w14:textId="77777777" w:rsidR="00884A56" w:rsidRPr="00B644EB" w:rsidRDefault="00884A56" w:rsidP="000A6038">
            <w:pPr>
              <w:rPr>
                <w:i/>
              </w:rPr>
            </w:pPr>
          </w:p>
        </w:tc>
        <w:tc>
          <w:tcPr>
            <w:tcW w:w="1985" w:type="dxa"/>
            <w:shd w:val="clear" w:color="auto" w:fill="auto"/>
          </w:tcPr>
          <w:p w14:paraId="58022273" w14:textId="77777777" w:rsidR="002A7063" w:rsidRPr="00B644EB" w:rsidRDefault="00364AF7" w:rsidP="009779D2">
            <w:pPr>
              <w:rPr>
                <w:rFonts w:ascii="Arial" w:hAnsi="Arial" w:cs="Arial"/>
                <w:sz w:val="20"/>
                <w:szCs w:val="20"/>
              </w:rPr>
            </w:pPr>
            <w:r w:rsidRPr="00B644EB">
              <w:rPr>
                <w:rFonts w:ascii="Arial" w:hAnsi="Arial" w:cs="Arial"/>
                <w:sz w:val="20"/>
                <w:szCs w:val="20"/>
              </w:rPr>
              <w:t>January 2014</w:t>
            </w:r>
            <w:r w:rsidR="00B644EB" w:rsidRPr="00B644EB">
              <w:rPr>
                <w:rFonts w:ascii="Arial" w:hAnsi="Arial" w:cs="Arial"/>
                <w:sz w:val="20"/>
                <w:szCs w:val="20"/>
              </w:rPr>
              <w:t>, reviewed August 2016</w:t>
            </w:r>
          </w:p>
        </w:tc>
        <w:tc>
          <w:tcPr>
            <w:tcW w:w="1984" w:type="dxa"/>
            <w:shd w:val="clear" w:color="auto" w:fill="auto"/>
          </w:tcPr>
          <w:p w14:paraId="64F06A38" w14:textId="77777777" w:rsidR="002A7063" w:rsidRPr="00B644EB" w:rsidRDefault="00141646" w:rsidP="001D278D">
            <w:pPr>
              <w:rPr>
                <w:rFonts w:ascii="Arial" w:hAnsi="Arial" w:cs="Arial"/>
                <w:sz w:val="20"/>
                <w:szCs w:val="20"/>
              </w:rPr>
            </w:pPr>
            <w:r w:rsidRPr="00B644EB">
              <w:rPr>
                <w:rFonts w:ascii="Arial" w:hAnsi="Arial" w:cs="Arial"/>
                <w:sz w:val="20"/>
                <w:szCs w:val="20"/>
              </w:rPr>
              <w:t>2016/17</w:t>
            </w:r>
            <w:r w:rsidR="00176C37">
              <w:rPr>
                <w:rFonts w:ascii="Arial" w:hAnsi="Arial" w:cs="Arial"/>
                <w:sz w:val="20"/>
                <w:szCs w:val="20"/>
              </w:rPr>
              <w:t xml:space="preserve"> (to be reviewed 2019/20)</w:t>
            </w:r>
          </w:p>
        </w:tc>
        <w:tc>
          <w:tcPr>
            <w:tcW w:w="3827" w:type="dxa"/>
            <w:shd w:val="clear" w:color="auto" w:fill="auto"/>
          </w:tcPr>
          <w:p w14:paraId="7627DB61" w14:textId="77777777" w:rsidR="002A7063" w:rsidRPr="00B644EB" w:rsidRDefault="00483366" w:rsidP="009779D2">
            <w:pPr>
              <w:rPr>
                <w:rFonts w:ascii="Arial" w:hAnsi="Arial" w:cs="Arial"/>
                <w:sz w:val="20"/>
                <w:szCs w:val="20"/>
              </w:rPr>
            </w:pPr>
            <w:r w:rsidRPr="00B644EB">
              <w:rPr>
                <w:rFonts w:ascii="Arial" w:hAnsi="Arial" w:cs="Arial"/>
                <w:sz w:val="20"/>
                <w:szCs w:val="20"/>
              </w:rPr>
              <w:t>Important reference point for establishing module/assignment specific marking criteria.</w:t>
            </w:r>
          </w:p>
        </w:tc>
        <w:tc>
          <w:tcPr>
            <w:tcW w:w="3747" w:type="dxa"/>
          </w:tcPr>
          <w:p w14:paraId="72180DCC" w14:textId="77777777" w:rsidR="002A7063" w:rsidRPr="00483366" w:rsidRDefault="002A7063" w:rsidP="00A40269">
            <w:pPr>
              <w:rPr>
                <w:rFonts w:ascii="Arial" w:hAnsi="Arial" w:cs="Arial"/>
                <w:sz w:val="20"/>
                <w:szCs w:val="20"/>
                <w:highlight w:val="yellow"/>
              </w:rPr>
            </w:pPr>
          </w:p>
        </w:tc>
      </w:tr>
      <w:tr w:rsidR="00F86E67" w:rsidRPr="00C9454B" w14:paraId="7803C17A" w14:textId="77777777" w:rsidTr="008458B4">
        <w:tc>
          <w:tcPr>
            <w:tcW w:w="2405" w:type="dxa"/>
            <w:shd w:val="clear" w:color="auto" w:fill="auto"/>
          </w:tcPr>
          <w:p w14:paraId="7B0E4E11" w14:textId="77777777" w:rsidR="00F86E67" w:rsidRDefault="006712D7" w:rsidP="00065DD2">
            <w:pPr>
              <w:rPr>
                <w:rFonts w:ascii="Arial" w:hAnsi="Arial" w:cs="Arial"/>
                <w:sz w:val="20"/>
                <w:szCs w:val="20"/>
              </w:rPr>
            </w:pPr>
            <w:hyperlink r:id="rId16" w:history="1">
              <w:r w:rsidR="003F6A80">
                <w:rPr>
                  <w:rStyle w:val="Hyperlink"/>
                  <w:rFonts w:ascii="Arial" w:hAnsi="Arial" w:cs="Arial"/>
                  <w:sz w:val="20"/>
                  <w:szCs w:val="20"/>
                </w:rPr>
                <w:t>Collaborative Academic Arrangements Policy</w:t>
              </w:r>
            </w:hyperlink>
            <w:r w:rsidR="003F6A80">
              <w:rPr>
                <w:rFonts w:ascii="Arial" w:hAnsi="Arial" w:cs="Arial"/>
                <w:sz w:val="20"/>
                <w:szCs w:val="20"/>
              </w:rPr>
              <w:t xml:space="preserve"> </w:t>
            </w:r>
          </w:p>
          <w:p w14:paraId="6ED5CAC6" w14:textId="77777777" w:rsidR="003F6A80" w:rsidRPr="00C9454B" w:rsidRDefault="003F6A80" w:rsidP="00065DD2">
            <w:pPr>
              <w:rPr>
                <w:rFonts w:ascii="Arial" w:hAnsi="Arial" w:cs="Arial"/>
                <w:sz w:val="20"/>
                <w:szCs w:val="20"/>
                <w:highlight w:val="yellow"/>
              </w:rPr>
            </w:pPr>
          </w:p>
        </w:tc>
        <w:tc>
          <w:tcPr>
            <w:tcW w:w="1985" w:type="dxa"/>
            <w:shd w:val="clear" w:color="auto" w:fill="auto"/>
          </w:tcPr>
          <w:p w14:paraId="1AD0FDA6" w14:textId="77777777" w:rsidR="00F86E67" w:rsidRPr="00711089" w:rsidRDefault="00F86E67" w:rsidP="00065DD2">
            <w:pPr>
              <w:rPr>
                <w:rFonts w:ascii="Arial" w:hAnsi="Arial" w:cs="Arial"/>
                <w:sz w:val="20"/>
                <w:szCs w:val="20"/>
              </w:rPr>
            </w:pPr>
            <w:r w:rsidRPr="00711089">
              <w:rPr>
                <w:rFonts w:ascii="Arial" w:hAnsi="Arial" w:cs="Arial"/>
                <w:sz w:val="20"/>
                <w:szCs w:val="20"/>
              </w:rPr>
              <w:t>Approved October 2012</w:t>
            </w:r>
            <w:r w:rsidR="00AB6CF2" w:rsidRPr="005C34EF">
              <w:rPr>
                <w:rFonts w:ascii="Arial" w:hAnsi="Arial" w:cs="Arial"/>
                <w:sz w:val="20"/>
                <w:szCs w:val="20"/>
              </w:rPr>
              <w:t>, revised September 2014</w:t>
            </w:r>
            <w:r w:rsidRPr="00711089">
              <w:rPr>
                <w:rFonts w:ascii="Arial" w:hAnsi="Arial" w:cs="Arial"/>
                <w:sz w:val="20"/>
                <w:szCs w:val="20"/>
              </w:rPr>
              <w:t xml:space="preserve"> </w:t>
            </w:r>
          </w:p>
        </w:tc>
        <w:tc>
          <w:tcPr>
            <w:tcW w:w="1984" w:type="dxa"/>
            <w:shd w:val="clear" w:color="auto" w:fill="auto"/>
          </w:tcPr>
          <w:p w14:paraId="5E9F9C8C" w14:textId="77777777" w:rsidR="00F86E67" w:rsidRPr="00AA1911" w:rsidRDefault="00F86E67" w:rsidP="009B3E03">
            <w:pPr>
              <w:rPr>
                <w:rFonts w:ascii="Arial" w:hAnsi="Arial" w:cs="Arial"/>
                <w:sz w:val="20"/>
                <w:szCs w:val="20"/>
              </w:rPr>
            </w:pPr>
            <w:r w:rsidRPr="00AA1911">
              <w:rPr>
                <w:rFonts w:ascii="Arial" w:hAnsi="Arial" w:cs="Arial"/>
                <w:sz w:val="20"/>
                <w:szCs w:val="20"/>
              </w:rPr>
              <w:t xml:space="preserve">2015/16 </w:t>
            </w:r>
            <w:r w:rsidR="009B3E03" w:rsidRPr="00AA1911">
              <w:rPr>
                <w:rFonts w:ascii="Arial" w:hAnsi="Arial" w:cs="Arial"/>
                <w:sz w:val="20"/>
                <w:szCs w:val="20"/>
              </w:rPr>
              <w:t>(currently under review)</w:t>
            </w:r>
          </w:p>
        </w:tc>
        <w:tc>
          <w:tcPr>
            <w:tcW w:w="3827" w:type="dxa"/>
          </w:tcPr>
          <w:p w14:paraId="2C459F7F" w14:textId="77777777" w:rsidR="00F86E67" w:rsidRPr="00711089" w:rsidRDefault="00F86E67" w:rsidP="00455A81">
            <w:pPr>
              <w:rPr>
                <w:rFonts w:ascii="Arial" w:hAnsi="Arial" w:cs="Arial"/>
                <w:sz w:val="20"/>
                <w:szCs w:val="20"/>
              </w:rPr>
            </w:pPr>
            <w:r w:rsidRPr="00711089">
              <w:rPr>
                <w:rFonts w:ascii="Arial" w:hAnsi="Arial" w:cs="Arial"/>
                <w:sz w:val="20"/>
                <w:szCs w:val="20"/>
              </w:rPr>
              <w:t>Includes typology of collaborative provision, criteria for selection of partners and principles governing partnerships.</w:t>
            </w:r>
          </w:p>
        </w:tc>
        <w:tc>
          <w:tcPr>
            <w:tcW w:w="3747" w:type="dxa"/>
          </w:tcPr>
          <w:p w14:paraId="06048F8D" w14:textId="77777777" w:rsidR="00F86E67" w:rsidRPr="00C9454B" w:rsidRDefault="00F86E67" w:rsidP="00065DD2">
            <w:pPr>
              <w:rPr>
                <w:rFonts w:ascii="Arial" w:hAnsi="Arial" w:cs="Arial"/>
                <w:sz w:val="20"/>
                <w:szCs w:val="20"/>
                <w:highlight w:val="yellow"/>
              </w:rPr>
            </w:pPr>
            <w:r w:rsidRPr="00711089">
              <w:rPr>
                <w:rFonts w:ascii="Arial" w:hAnsi="Arial" w:cs="Arial"/>
                <w:sz w:val="20"/>
                <w:szCs w:val="20"/>
              </w:rPr>
              <w:t>Important reference point in early stages of consideration of potential new partnerships.</w:t>
            </w:r>
          </w:p>
        </w:tc>
      </w:tr>
      <w:tr w:rsidR="00D16ED5" w:rsidRPr="00C9454B" w14:paraId="79588346" w14:textId="77777777" w:rsidTr="008458B4">
        <w:tc>
          <w:tcPr>
            <w:tcW w:w="2405" w:type="dxa"/>
            <w:shd w:val="clear" w:color="auto" w:fill="auto"/>
          </w:tcPr>
          <w:p w14:paraId="35636ECC" w14:textId="77777777" w:rsidR="007A1146" w:rsidRDefault="006712D7" w:rsidP="00D16ED5">
            <w:pPr>
              <w:rPr>
                <w:rFonts w:ascii="Arial" w:hAnsi="Arial" w:cs="Arial"/>
                <w:sz w:val="20"/>
                <w:szCs w:val="20"/>
              </w:rPr>
            </w:pPr>
            <w:hyperlink r:id="rId17" w:history="1">
              <w:r w:rsidR="008458B4" w:rsidRPr="008458B4">
                <w:rPr>
                  <w:rStyle w:val="Hyperlink"/>
                  <w:rFonts w:ascii="Arial" w:hAnsi="Arial" w:cs="Arial"/>
                  <w:sz w:val="20"/>
                  <w:szCs w:val="20"/>
                </w:rPr>
                <w:t>Course Closure, Suspension and Significant Change</w:t>
              </w:r>
            </w:hyperlink>
          </w:p>
          <w:p w14:paraId="43225A6F" w14:textId="5BFA88EA" w:rsidR="008458B4" w:rsidRPr="008458B4" w:rsidRDefault="008458B4" w:rsidP="00D16ED5">
            <w:pPr>
              <w:rPr>
                <w:rFonts w:ascii="Arial" w:hAnsi="Arial" w:cs="Arial"/>
                <w:sz w:val="20"/>
                <w:szCs w:val="20"/>
              </w:rPr>
            </w:pPr>
            <w:r w:rsidRPr="008458B4">
              <w:rPr>
                <w:rFonts w:ascii="Arial" w:hAnsi="Arial" w:cs="Arial"/>
                <w:sz w:val="20"/>
                <w:szCs w:val="20"/>
              </w:rPr>
              <w:t xml:space="preserve"> </w:t>
            </w:r>
          </w:p>
        </w:tc>
        <w:tc>
          <w:tcPr>
            <w:tcW w:w="1985" w:type="dxa"/>
            <w:shd w:val="clear" w:color="auto" w:fill="auto"/>
          </w:tcPr>
          <w:p w14:paraId="17F42A92" w14:textId="1E8D9D8F" w:rsidR="00D16ED5" w:rsidRPr="008458B4" w:rsidRDefault="00D16ED5" w:rsidP="00D16ED5">
            <w:pPr>
              <w:rPr>
                <w:rFonts w:ascii="Arial" w:hAnsi="Arial" w:cs="Arial"/>
                <w:sz w:val="20"/>
                <w:szCs w:val="20"/>
              </w:rPr>
            </w:pPr>
            <w:r w:rsidRPr="008458B4">
              <w:rPr>
                <w:rFonts w:ascii="Arial" w:hAnsi="Arial" w:cs="Arial"/>
                <w:sz w:val="20"/>
                <w:szCs w:val="20"/>
              </w:rPr>
              <w:t>January 2017</w:t>
            </w:r>
            <w:r w:rsidR="008E2C10" w:rsidRPr="008458B4">
              <w:rPr>
                <w:rFonts w:ascii="Arial" w:hAnsi="Arial" w:cs="Arial"/>
                <w:sz w:val="20"/>
                <w:szCs w:val="20"/>
              </w:rPr>
              <w:t>,</w:t>
            </w:r>
            <w:r w:rsidR="008E2C10" w:rsidRPr="008458B4">
              <w:rPr>
                <w:sz w:val="20"/>
                <w:szCs w:val="20"/>
              </w:rPr>
              <w:t xml:space="preserve"> </w:t>
            </w:r>
            <w:r w:rsidR="008E2C10" w:rsidRPr="008458B4">
              <w:rPr>
                <w:rFonts w:ascii="Arial" w:hAnsi="Arial" w:cs="Arial"/>
                <w:sz w:val="20"/>
                <w:szCs w:val="20"/>
              </w:rPr>
              <w:t>reviewed September 2019</w:t>
            </w:r>
          </w:p>
        </w:tc>
        <w:tc>
          <w:tcPr>
            <w:tcW w:w="1984" w:type="dxa"/>
            <w:shd w:val="clear" w:color="auto" w:fill="auto"/>
          </w:tcPr>
          <w:p w14:paraId="616178DF" w14:textId="77777777" w:rsidR="007F442B" w:rsidRDefault="008E2C10" w:rsidP="00D16ED5">
            <w:pPr>
              <w:rPr>
                <w:rFonts w:ascii="Arial" w:hAnsi="Arial" w:cs="Arial"/>
                <w:sz w:val="20"/>
                <w:szCs w:val="20"/>
              </w:rPr>
            </w:pPr>
            <w:r w:rsidRPr="008458B4">
              <w:rPr>
                <w:rFonts w:ascii="Arial" w:hAnsi="Arial" w:cs="Arial"/>
                <w:sz w:val="20"/>
                <w:szCs w:val="20"/>
              </w:rPr>
              <w:t>August 2022</w:t>
            </w:r>
            <w:r w:rsidR="00D16ED5" w:rsidRPr="008458B4">
              <w:rPr>
                <w:rFonts w:ascii="Arial" w:hAnsi="Arial" w:cs="Arial"/>
                <w:sz w:val="20"/>
                <w:szCs w:val="20"/>
              </w:rPr>
              <w:t xml:space="preserve"> </w:t>
            </w:r>
          </w:p>
          <w:p w14:paraId="0D11D924" w14:textId="5FE7F9A8" w:rsidR="00D16ED5" w:rsidRPr="008458B4" w:rsidRDefault="00D16ED5" w:rsidP="00D16ED5">
            <w:pPr>
              <w:rPr>
                <w:rFonts w:ascii="Arial" w:hAnsi="Arial" w:cs="Arial"/>
                <w:sz w:val="20"/>
                <w:szCs w:val="20"/>
              </w:rPr>
            </w:pPr>
            <w:r w:rsidRPr="008458B4">
              <w:rPr>
                <w:rFonts w:ascii="Arial" w:hAnsi="Arial" w:cs="Arial"/>
                <w:sz w:val="20"/>
                <w:szCs w:val="20"/>
              </w:rPr>
              <w:t>(Head of Academic Quality)</w:t>
            </w:r>
          </w:p>
        </w:tc>
        <w:tc>
          <w:tcPr>
            <w:tcW w:w="3827" w:type="dxa"/>
          </w:tcPr>
          <w:p w14:paraId="00C3F31A" w14:textId="67BF7DBA" w:rsidR="00D16ED5" w:rsidRPr="008458B4" w:rsidRDefault="00D16ED5" w:rsidP="00D16ED5">
            <w:pPr>
              <w:rPr>
                <w:rFonts w:ascii="Arial" w:hAnsi="Arial" w:cs="Arial"/>
                <w:sz w:val="20"/>
                <w:szCs w:val="20"/>
              </w:rPr>
            </w:pPr>
            <w:r w:rsidRPr="008458B4">
              <w:rPr>
                <w:rFonts w:ascii="Arial" w:eastAsia="MS Mincho" w:hAnsi="Arial" w:cs="Arial"/>
                <w:color w:val="000000"/>
                <w:sz w:val="20"/>
                <w:szCs w:val="20"/>
                <w:lang w:eastAsia="ja-JP"/>
              </w:rPr>
              <w:t xml:space="preserve">These procedures are to be used where UW awards are being considered for </w:t>
            </w:r>
            <w:r w:rsidRPr="008458B4">
              <w:rPr>
                <w:rFonts w:ascii="Arial" w:eastAsia="MS Mincho" w:hAnsi="Arial" w:cs="Arial"/>
                <w:bCs/>
                <w:color w:val="000000"/>
                <w:sz w:val="20"/>
                <w:szCs w:val="20"/>
                <w:lang w:eastAsia="ja-JP"/>
              </w:rPr>
              <w:t xml:space="preserve">course closure, suspension or </w:t>
            </w:r>
            <w:r w:rsidR="003A3F1B" w:rsidRPr="008458B4">
              <w:rPr>
                <w:rFonts w:ascii="Arial" w:eastAsia="MS Mincho" w:hAnsi="Arial" w:cs="Arial"/>
                <w:bCs/>
                <w:color w:val="000000"/>
                <w:sz w:val="20"/>
                <w:szCs w:val="20"/>
                <w:lang w:eastAsia="ja-JP"/>
              </w:rPr>
              <w:t xml:space="preserve">significant </w:t>
            </w:r>
            <w:r w:rsidRPr="008458B4">
              <w:rPr>
                <w:rFonts w:ascii="Arial" w:eastAsia="MS Mincho" w:hAnsi="Arial" w:cs="Arial"/>
                <w:bCs/>
                <w:color w:val="000000"/>
                <w:sz w:val="20"/>
                <w:szCs w:val="20"/>
                <w:lang w:eastAsia="ja-JP"/>
              </w:rPr>
              <w:t>change</w:t>
            </w:r>
            <w:r w:rsidRPr="008458B4">
              <w:rPr>
                <w:rFonts w:ascii="Arial" w:eastAsia="MS Mincho" w:hAnsi="Arial" w:cs="Arial"/>
                <w:color w:val="000000"/>
                <w:sz w:val="20"/>
                <w:szCs w:val="20"/>
                <w:lang w:eastAsia="ja-JP"/>
              </w:rPr>
              <w:t xml:space="preserve"> and apply to an undergraduate or taught postgraduate course.  This applies to courses delivered through partner organisations as well as University based provision.</w:t>
            </w:r>
          </w:p>
        </w:tc>
        <w:tc>
          <w:tcPr>
            <w:tcW w:w="3747" w:type="dxa"/>
          </w:tcPr>
          <w:p w14:paraId="7851E8AF" w14:textId="77777777" w:rsidR="00D16ED5" w:rsidRPr="008458B4" w:rsidRDefault="00D16ED5" w:rsidP="00065DD2">
            <w:pPr>
              <w:rPr>
                <w:rFonts w:ascii="Arial" w:hAnsi="Arial" w:cs="Arial"/>
                <w:sz w:val="20"/>
                <w:szCs w:val="20"/>
              </w:rPr>
            </w:pPr>
          </w:p>
        </w:tc>
      </w:tr>
      <w:tr w:rsidR="00BF55F7" w:rsidRPr="004055BD" w14:paraId="7790CFA0" w14:textId="77777777" w:rsidTr="008458B4">
        <w:tc>
          <w:tcPr>
            <w:tcW w:w="2405" w:type="dxa"/>
            <w:shd w:val="clear" w:color="auto" w:fill="auto"/>
          </w:tcPr>
          <w:p w14:paraId="53B109FE" w14:textId="4424324A" w:rsidR="00ED0E35" w:rsidRPr="001C79F3" w:rsidRDefault="006712D7" w:rsidP="00EB7306">
            <w:pPr>
              <w:rPr>
                <w:rFonts w:ascii="Arial" w:hAnsi="Arial" w:cs="Arial"/>
                <w:color w:val="0070C0"/>
                <w:sz w:val="20"/>
                <w:szCs w:val="20"/>
              </w:rPr>
            </w:pPr>
            <w:hyperlink r:id="rId18" w:history="1">
              <w:r w:rsidR="00C739EF" w:rsidRPr="001C79F3">
                <w:rPr>
                  <w:rStyle w:val="Hyperlink"/>
                  <w:rFonts w:ascii="Arial" w:hAnsi="Arial" w:cs="Arial"/>
                  <w:sz w:val="20"/>
                  <w:szCs w:val="20"/>
                </w:rPr>
                <w:t>Course Management Committees</w:t>
              </w:r>
            </w:hyperlink>
          </w:p>
          <w:p w14:paraId="49D92EF6" w14:textId="1172D829" w:rsidR="00BF55F7" w:rsidRPr="001C79F3" w:rsidRDefault="0082408A" w:rsidP="00A40269">
            <w:pPr>
              <w:rPr>
                <w:rFonts w:ascii="Arial" w:hAnsi="Arial" w:cs="Arial"/>
                <w:color w:val="000000"/>
                <w:sz w:val="20"/>
                <w:szCs w:val="20"/>
              </w:rPr>
            </w:pPr>
            <w:r w:rsidRPr="001C79F3">
              <w:rPr>
                <w:rFonts w:ascii="Arial" w:hAnsi="Arial" w:cs="Arial"/>
                <w:color w:val="000000"/>
                <w:sz w:val="20"/>
                <w:szCs w:val="20"/>
              </w:rPr>
              <w:t>and</w:t>
            </w:r>
            <w:r w:rsidR="00BF55F7" w:rsidRPr="001C79F3">
              <w:rPr>
                <w:rFonts w:ascii="Arial" w:hAnsi="Arial" w:cs="Arial"/>
                <w:color w:val="000000"/>
                <w:sz w:val="20"/>
                <w:szCs w:val="20"/>
              </w:rPr>
              <w:t xml:space="preserve"> </w:t>
            </w:r>
          </w:p>
          <w:p w14:paraId="4FEE6AF8" w14:textId="77777777" w:rsidR="00BA2402" w:rsidRPr="00BA2402" w:rsidRDefault="006712D7" w:rsidP="00BA2402">
            <w:pPr>
              <w:rPr>
                <w:rFonts w:ascii="Arial" w:hAnsi="Arial" w:cs="Arial"/>
                <w:sz w:val="20"/>
                <w:szCs w:val="20"/>
              </w:rPr>
            </w:pPr>
            <w:hyperlink r:id="rId19" w:history="1">
              <w:r w:rsidR="00BA2402" w:rsidRPr="001C79F3">
                <w:rPr>
                  <w:rStyle w:val="Hyperlink"/>
                  <w:rFonts w:ascii="Arial" w:hAnsi="Arial" w:cs="Arial"/>
                  <w:sz w:val="20"/>
                  <w:szCs w:val="20"/>
                </w:rPr>
                <w:t>Student Academic Representation Code of Practice</w:t>
              </w:r>
            </w:hyperlink>
            <w:r w:rsidR="00BA2402" w:rsidRPr="00BA2402">
              <w:rPr>
                <w:rFonts w:ascii="Arial" w:hAnsi="Arial" w:cs="Arial"/>
                <w:sz w:val="20"/>
                <w:szCs w:val="20"/>
              </w:rPr>
              <w:t xml:space="preserve"> </w:t>
            </w:r>
          </w:p>
          <w:p w14:paraId="78472EA9" w14:textId="77777777" w:rsidR="00BA2402" w:rsidRDefault="00BA2402" w:rsidP="00AB6CF2">
            <w:pPr>
              <w:rPr>
                <w:rFonts w:ascii="Arial" w:hAnsi="Arial" w:cs="Arial"/>
                <w:i/>
                <w:color w:val="000000"/>
                <w:sz w:val="20"/>
                <w:szCs w:val="20"/>
              </w:rPr>
            </w:pPr>
          </w:p>
          <w:p w14:paraId="04391FDE" w14:textId="5ED6FA24" w:rsidR="00BA2402" w:rsidRPr="0082408A" w:rsidRDefault="00BA2402" w:rsidP="00AB6CF2">
            <w:pPr>
              <w:rPr>
                <w:rFonts w:ascii="Arial" w:hAnsi="Arial" w:cs="Arial"/>
                <w:i/>
                <w:color w:val="000000"/>
                <w:sz w:val="20"/>
                <w:szCs w:val="20"/>
              </w:rPr>
            </w:pPr>
          </w:p>
        </w:tc>
        <w:tc>
          <w:tcPr>
            <w:tcW w:w="1985" w:type="dxa"/>
            <w:shd w:val="clear" w:color="auto" w:fill="auto"/>
          </w:tcPr>
          <w:p w14:paraId="1E882EC3" w14:textId="1FF01A30" w:rsidR="00BF55F7" w:rsidRDefault="00BF55F7" w:rsidP="00A40269">
            <w:pPr>
              <w:rPr>
                <w:rFonts w:ascii="Arial" w:hAnsi="Arial" w:cs="Arial"/>
                <w:sz w:val="20"/>
                <w:szCs w:val="20"/>
              </w:rPr>
            </w:pPr>
            <w:r>
              <w:rPr>
                <w:rFonts w:ascii="Arial" w:hAnsi="Arial" w:cs="Arial"/>
                <w:sz w:val="20"/>
                <w:szCs w:val="20"/>
              </w:rPr>
              <w:t>July 2010</w:t>
            </w:r>
            <w:r w:rsidR="00C739EF">
              <w:rPr>
                <w:rFonts w:ascii="Arial" w:hAnsi="Arial" w:cs="Arial"/>
                <w:sz w:val="20"/>
                <w:szCs w:val="20"/>
              </w:rPr>
              <w:t>,</w:t>
            </w:r>
          </w:p>
          <w:p w14:paraId="4F7F5015" w14:textId="27254510" w:rsidR="00C739EF" w:rsidRDefault="00C739EF" w:rsidP="00A40269">
            <w:pPr>
              <w:rPr>
                <w:rFonts w:ascii="Arial" w:hAnsi="Arial" w:cs="Arial"/>
                <w:sz w:val="20"/>
                <w:szCs w:val="20"/>
              </w:rPr>
            </w:pPr>
            <w:r>
              <w:rPr>
                <w:rFonts w:ascii="Arial" w:hAnsi="Arial" w:cs="Arial"/>
                <w:sz w:val="20"/>
                <w:szCs w:val="20"/>
              </w:rPr>
              <w:t>reviewed August 2019</w:t>
            </w:r>
          </w:p>
          <w:p w14:paraId="6976C1A2" w14:textId="77777777" w:rsidR="00D90962" w:rsidRDefault="00D90962" w:rsidP="00A40269">
            <w:pPr>
              <w:rPr>
                <w:rFonts w:ascii="Arial" w:hAnsi="Arial" w:cs="Arial"/>
                <w:sz w:val="20"/>
                <w:szCs w:val="20"/>
              </w:rPr>
            </w:pPr>
          </w:p>
          <w:p w14:paraId="10CE4681" w14:textId="40BB84E6" w:rsidR="00D90962" w:rsidRPr="0007023E" w:rsidRDefault="00D90962" w:rsidP="00D41C38">
            <w:pPr>
              <w:rPr>
                <w:rFonts w:ascii="Arial" w:hAnsi="Arial" w:cs="Arial"/>
                <w:color w:val="FFFFFF" w:themeColor="background1"/>
                <w:sz w:val="20"/>
                <w:szCs w:val="20"/>
              </w:rPr>
            </w:pPr>
            <w:r w:rsidRPr="00626FCD">
              <w:rPr>
                <w:rStyle w:val="Hyperlink"/>
                <w:rFonts w:ascii="Arial" w:hAnsi="Arial" w:cs="Arial"/>
                <w:color w:val="000000" w:themeColor="text1"/>
                <w:sz w:val="20"/>
                <w:szCs w:val="20"/>
                <w:u w:val="none"/>
              </w:rPr>
              <w:t xml:space="preserve">Revised </w:t>
            </w:r>
            <w:r w:rsidR="00FA6C00" w:rsidRPr="00626FCD">
              <w:rPr>
                <w:rStyle w:val="Hyperlink"/>
                <w:rFonts w:ascii="Arial" w:hAnsi="Arial" w:cs="Arial"/>
                <w:color w:val="000000" w:themeColor="text1"/>
                <w:sz w:val="20"/>
                <w:szCs w:val="20"/>
                <w:u w:val="none"/>
              </w:rPr>
              <w:t>July 2014</w:t>
            </w:r>
            <w:r w:rsidR="00BA2402">
              <w:rPr>
                <w:rStyle w:val="Hyperlink"/>
                <w:rFonts w:ascii="Arial" w:hAnsi="Arial" w:cs="Arial"/>
                <w:color w:val="000000" w:themeColor="text1"/>
                <w:sz w:val="20"/>
                <w:szCs w:val="20"/>
                <w:u w:val="none"/>
              </w:rPr>
              <w:t>, reviewed August 2019</w:t>
            </w:r>
          </w:p>
        </w:tc>
        <w:tc>
          <w:tcPr>
            <w:tcW w:w="1984" w:type="dxa"/>
            <w:shd w:val="clear" w:color="auto" w:fill="auto"/>
          </w:tcPr>
          <w:p w14:paraId="54737750" w14:textId="0660EA28" w:rsidR="00BF55F7" w:rsidRDefault="00621DFE" w:rsidP="00BE397C">
            <w:pPr>
              <w:rPr>
                <w:rFonts w:ascii="Arial" w:hAnsi="Arial" w:cs="Arial"/>
                <w:color w:val="000000"/>
                <w:sz w:val="20"/>
                <w:szCs w:val="20"/>
              </w:rPr>
            </w:pPr>
            <w:r w:rsidRPr="005B3DF3">
              <w:rPr>
                <w:rFonts w:ascii="Arial" w:hAnsi="Arial" w:cs="Arial"/>
                <w:color w:val="000000"/>
                <w:sz w:val="20"/>
                <w:szCs w:val="20"/>
              </w:rPr>
              <w:t>201</w:t>
            </w:r>
            <w:r w:rsidR="00C739EF">
              <w:rPr>
                <w:rFonts w:ascii="Arial" w:hAnsi="Arial" w:cs="Arial"/>
                <w:color w:val="000000"/>
                <w:sz w:val="20"/>
                <w:szCs w:val="20"/>
              </w:rPr>
              <w:t>9</w:t>
            </w:r>
            <w:r w:rsidRPr="005B3DF3">
              <w:rPr>
                <w:rFonts w:ascii="Arial" w:hAnsi="Arial" w:cs="Arial"/>
                <w:color w:val="000000"/>
                <w:sz w:val="20"/>
                <w:szCs w:val="20"/>
              </w:rPr>
              <w:t>/</w:t>
            </w:r>
            <w:r w:rsidR="00C739EF">
              <w:rPr>
                <w:rFonts w:ascii="Arial" w:hAnsi="Arial" w:cs="Arial"/>
                <w:color w:val="000000"/>
                <w:sz w:val="20"/>
                <w:szCs w:val="20"/>
              </w:rPr>
              <w:t>20</w:t>
            </w:r>
            <w:r w:rsidRPr="005B3DF3">
              <w:rPr>
                <w:rFonts w:ascii="Arial" w:hAnsi="Arial" w:cs="Arial"/>
                <w:color w:val="000000"/>
                <w:sz w:val="20"/>
                <w:szCs w:val="20"/>
              </w:rPr>
              <w:t xml:space="preserve"> (</w:t>
            </w:r>
            <w:r w:rsidR="00D90962" w:rsidRPr="005B3DF3">
              <w:rPr>
                <w:rFonts w:ascii="Arial" w:hAnsi="Arial" w:cs="Arial"/>
                <w:color w:val="000000"/>
                <w:sz w:val="20"/>
                <w:szCs w:val="20"/>
              </w:rPr>
              <w:t>Head</w:t>
            </w:r>
            <w:r w:rsidR="00D90962" w:rsidRPr="004E6CF6">
              <w:rPr>
                <w:rFonts w:ascii="Arial" w:hAnsi="Arial" w:cs="Arial"/>
                <w:color w:val="000000"/>
                <w:sz w:val="20"/>
                <w:szCs w:val="20"/>
              </w:rPr>
              <w:t xml:space="preserve"> of A</w:t>
            </w:r>
            <w:r w:rsidR="004E6CF6" w:rsidRPr="004E6CF6">
              <w:rPr>
                <w:rFonts w:ascii="Arial" w:hAnsi="Arial" w:cs="Arial"/>
                <w:color w:val="000000"/>
                <w:sz w:val="20"/>
                <w:szCs w:val="20"/>
              </w:rPr>
              <w:t>cademic Quality</w:t>
            </w:r>
            <w:r w:rsidRPr="004E6CF6">
              <w:rPr>
                <w:rFonts w:ascii="Arial" w:hAnsi="Arial" w:cs="Arial"/>
                <w:color w:val="000000"/>
                <w:sz w:val="20"/>
                <w:szCs w:val="20"/>
              </w:rPr>
              <w:t>)</w:t>
            </w:r>
          </w:p>
          <w:p w14:paraId="6CB51798" w14:textId="77777777" w:rsidR="00D90962" w:rsidRDefault="00D90962" w:rsidP="00A40269">
            <w:pPr>
              <w:rPr>
                <w:rFonts w:ascii="Arial" w:hAnsi="Arial" w:cs="Arial"/>
                <w:color w:val="000000"/>
                <w:sz w:val="20"/>
                <w:szCs w:val="20"/>
              </w:rPr>
            </w:pPr>
          </w:p>
          <w:p w14:paraId="7A5712C2" w14:textId="77777777" w:rsidR="00D90962" w:rsidRDefault="00D90962" w:rsidP="00A40269">
            <w:pPr>
              <w:rPr>
                <w:rFonts w:ascii="Arial" w:hAnsi="Arial" w:cs="Arial"/>
                <w:color w:val="000000"/>
                <w:sz w:val="20"/>
                <w:szCs w:val="20"/>
              </w:rPr>
            </w:pPr>
          </w:p>
          <w:p w14:paraId="5EBC399A" w14:textId="77777777" w:rsidR="00BA2402" w:rsidRDefault="00BA2402" w:rsidP="00BA2402">
            <w:pPr>
              <w:rPr>
                <w:rFonts w:ascii="Arial" w:hAnsi="Arial" w:cs="Arial"/>
                <w:color w:val="000000"/>
                <w:sz w:val="20"/>
                <w:szCs w:val="20"/>
              </w:rPr>
            </w:pPr>
            <w:r>
              <w:rPr>
                <w:rFonts w:ascii="Arial" w:hAnsi="Arial" w:cs="Arial"/>
                <w:color w:val="000000"/>
                <w:sz w:val="20"/>
                <w:szCs w:val="20"/>
              </w:rPr>
              <w:t>August 2020</w:t>
            </w:r>
          </w:p>
          <w:p w14:paraId="3F62F2FE" w14:textId="3FE6DDE0" w:rsidR="00D90962" w:rsidRDefault="00BA2402" w:rsidP="00626FCD">
            <w:pPr>
              <w:rPr>
                <w:rFonts w:ascii="Arial" w:hAnsi="Arial" w:cs="Arial"/>
                <w:color w:val="000000"/>
                <w:sz w:val="20"/>
                <w:szCs w:val="20"/>
              </w:rPr>
            </w:pPr>
            <w:r>
              <w:rPr>
                <w:rFonts w:ascii="Arial" w:hAnsi="Arial" w:cs="Arial"/>
                <w:color w:val="000000"/>
                <w:sz w:val="20"/>
                <w:szCs w:val="20"/>
              </w:rPr>
              <w:t>(</w:t>
            </w:r>
            <w:r w:rsidR="00D90962">
              <w:rPr>
                <w:rFonts w:ascii="Arial" w:hAnsi="Arial" w:cs="Arial"/>
                <w:color w:val="000000"/>
                <w:sz w:val="20"/>
                <w:szCs w:val="20"/>
              </w:rPr>
              <w:t>Student</w:t>
            </w:r>
            <w:r w:rsidR="001E554F">
              <w:rPr>
                <w:rFonts w:ascii="Arial" w:hAnsi="Arial" w:cs="Arial"/>
                <w:color w:val="000000"/>
                <w:sz w:val="20"/>
                <w:szCs w:val="20"/>
              </w:rPr>
              <w:t>s’</w:t>
            </w:r>
            <w:r w:rsidR="00D90962">
              <w:rPr>
                <w:rFonts w:ascii="Arial" w:hAnsi="Arial" w:cs="Arial"/>
                <w:color w:val="000000"/>
                <w:sz w:val="20"/>
                <w:szCs w:val="20"/>
              </w:rPr>
              <w:t xml:space="preserve"> Union</w:t>
            </w:r>
            <w:r>
              <w:rPr>
                <w:rFonts w:ascii="Arial" w:hAnsi="Arial" w:cs="Arial"/>
                <w:color w:val="000000"/>
                <w:sz w:val="20"/>
                <w:szCs w:val="20"/>
              </w:rPr>
              <w:t>)</w:t>
            </w:r>
          </w:p>
          <w:p w14:paraId="69785BC9" w14:textId="77777777" w:rsidR="00D90962" w:rsidRPr="004055BD" w:rsidRDefault="00D90962" w:rsidP="00BA2402">
            <w:pPr>
              <w:rPr>
                <w:rFonts w:ascii="Arial" w:hAnsi="Arial" w:cs="Arial"/>
                <w:color w:val="000000"/>
                <w:sz w:val="20"/>
                <w:szCs w:val="20"/>
              </w:rPr>
            </w:pPr>
          </w:p>
        </w:tc>
        <w:tc>
          <w:tcPr>
            <w:tcW w:w="3827" w:type="dxa"/>
            <w:shd w:val="clear" w:color="auto" w:fill="auto"/>
          </w:tcPr>
          <w:p w14:paraId="49661220" w14:textId="56474E19" w:rsidR="00BF55F7" w:rsidRPr="004055BD" w:rsidRDefault="00BF55F7" w:rsidP="00A40269">
            <w:pPr>
              <w:rPr>
                <w:rFonts w:ascii="Arial" w:hAnsi="Arial" w:cs="Arial"/>
                <w:sz w:val="20"/>
                <w:szCs w:val="20"/>
              </w:rPr>
            </w:pPr>
          </w:p>
        </w:tc>
        <w:tc>
          <w:tcPr>
            <w:tcW w:w="3747" w:type="dxa"/>
          </w:tcPr>
          <w:p w14:paraId="6BD222E0" w14:textId="09F10BE3" w:rsidR="00BF55F7" w:rsidRPr="004055BD" w:rsidRDefault="00BF55F7" w:rsidP="00A40269">
            <w:pPr>
              <w:rPr>
                <w:rFonts w:ascii="Arial" w:hAnsi="Arial" w:cs="Arial"/>
                <w:sz w:val="20"/>
                <w:szCs w:val="20"/>
              </w:rPr>
            </w:pPr>
            <w:r>
              <w:rPr>
                <w:rFonts w:ascii="Arial" w:hAnsi="Arial" w:cs="Arial"/>
                <w:sz w:val="20"/>
                <w:szCs w:val="20"/>
              </w:rPr>
              <w:t>Integral to management of course</w:t>
            </w:r>
            <w:r w:rsidR="00AA1911">
              <w:rPr>
                <w:rFonts w:ascii="Arial" w:hAnsi="Arial" w:cs="Arial"/>
                <w:sz w:val="20"/>
                <w:szCs w:val="20"/>
              </w:rPr>
              <w:t>s</w:t>
            </w:r>
            <w:r>
              <w:rPr>
                <w:rFonts w:ascii="Arial" w:hAnsi="Arial" w:cs="Arial"/>
                <w:sz w:val="20"/>
                <w:szCs w:val="20"/>
              </w:rPr>
              <w:t>.</w:t>
            </w:r>
          </w:p>
        </w:tc>
      </w:tr>
      <w:tr w:rsidR="00ED7715" w:rsidRPr="004055BD" w14:paraId="1AA5C722" w14:textId="77777777" w:rsidTr="008458B4">
        <w:tc>
          <w:tcPr>
            <w:tcW w:w="2405" w:type="dxa"/>
            <w:shd w:val="clear" w:color="auto" w:fill="auto"/>
          </w:tcPr>
          <w:p w14:paraId="097A2ED4" w14:textId="77777777" w:rsidR="002B6AE9" w:rsidRPr="00E2432B" w:rsidRDefault="006712D7" w:rsidP="009779D2">
            <w:pPr>
              <w:rPr>
                <w:rFonts w:ascii="Arial" w:hAnsi="Arial" w:cs="Arial"/>
                <w:color w:val="000000"/>
                <w:sz w:val="20"/>
                <w:szCs w:val="20"/>
              </w:rPr>
            </w:pPr>
            <w:hyperlink r:id="rId20" w:history="1">
              <w:r w:rsidR="002B6AE9" w:rsidRPr="00E2432B">
                <w:rPr>
                  <w:rStyle w:val="Hyperlink"/>
                  <w:rFonts w:ascii="Arial" w:hAnsi="Arial" w:cs="Arial"/>
                  <w:sz w:val="20"/>
                  <w:szCs w:val="20"/>
                </w:rPr>
                <w:t>Curriculum Design Policy</w:t>
              </w:r>
            </w:hyperlink>
            <w:r w:rsidR="002B6AE9" w:rsidRPr="00E2432B">
              <w:rPr>
                <w:rFonts w:ascii="Arial" w:hAnsi="Arial" w:cs="Arial"/>
                <w:color w:val="FF0000"/>
                <w:sz w:val="20"/>
                <w:szCs w:val="20"/>
              </w:rPr>
              <w:t xml:space="preserve"> </w:t>
            </w:r>
          </w:p>
          <w:p w14:paraId="2F633EAD" w14:textId="77777777" w:rsidR="002B6AE9" w:rsidRPr="00E2432B" w:rsidRDefault="002B6AE9" w:rsidP="009779D2">
            <w:pPr>
              <w:rPr>
                <w:rFonts w:ascii="Arial" w:hAnsi="Arial" w:cs="Arial"/>
                <w:color w:val="FF0000"/>
                <w:sz w:val="20"/>
                <w:szCs w:val="20"/>
              </w:rPr>
            </w:pPr>
          </w:p>
        </w:tc>
        <w:tc>
          <w:tcPr>
            <w:tcW w:w="1985" w:type="dxa"/>
            <w:shd w:val="clear" w:color="auto" w:fill="auto"/>
          </w:tcPr>
          <w:p w14:paraId="445696D9" w14:textId="27524034" w:rsidR="00ED7715" w:rsidRDefault="00ED7715" w:rsidP="009B3E03">
            <w:pPr>
              <w:rPr>
                <w:rFonts w:ascii="Arial" w:hAnsi="Arial" w:cs="Arial"/>
                <w:sz w:val="20"/>
                <w:szCs w:val="20"/>
              </w:rPr>
            </w:pPr>
            <w:r w:rsidRPr="00E2432B">
              <w:rPr>
                <w:rFonts w:ascii="Arial" w:hAnsi="Arial" w:cs="Arial"/>
                <w:sz w:val="20"/>
                <w:szCs w:val="20"/>
              </w:rPr>
              <w:t>Approved</w:t>
            </w:r>
            <w:r w:rsidR="005B3DF3" w:rsidRPr="005A1138">
              <w:rPr>
                <w:rFonts w:ascii="Arial" w:hAnsi="Arial" w:cs="Arial"/>
                <w:sz w:val="20"/>
                <w:szCs w:val="20"/>
              </w:rPr>
              <w:t xml:space="preserve"> 2015</w:t>
            </w:r>
            <w:r w:rsidR="008F7145">
              <w:rPr>
                <w:rFonts w:ascii="Arial" w:hAnsi="Arial" w:cs="Arial"/>
                <w:sz w:val="20"/>
                <w:szCs w:val="20"/>
              </w:rPr>
              <w:t xml:space="preserve"> -</w:t>
            </w:r>
          </w:p>
          <w:p w14:paraId="0D684D84" w14:textId="19BC0B56" w:rsidR="008F7145" w:rsidRPr="00E2432B" w:rsidRDefault="008F7145" w:rsidP="009B3E03">
            <w:pPr>
              <w:rPr>
                <w:rFonts w:ascii="Arial" w:hAnsi="Arial" w:cs="Arial"/>
                <w:sz w:val="20"/>
                <w:szCs w:val="20"/>
              </w:rPr>
            </w:pPr>
            <w:r>
              <w:rPr>
                <w:rFonts w:ascii="Arial" w:hAnsi="Arial" w:cs="Arial"/>
                <w:sz w:val="20"/>
                <w:szCs w:val="20"/>
              </w:rPr>
              <w:t>reviewed October 2019</w:t>
            </w:r>
          </w:p>
        </w:tc>
        <w:tc>
          <w:tcPr>
            <w:tcW w:w="1984" w:type="dxa"/>
            <w:shd w:val="clear" w:color="auto" w:fill="auto"/>
          </w:tcPr>
          <w:p w14:paraId="75726C2F" w14:textId="7A012D97" w:rsidR="00ED7715" w:rsidRPr="00E2432B" w:rsidRDefault="009B3E03" w:rsidP="009779D2">
            <w:pPr>
              <w:rPr>
                <w:rFonts w:ascii="Arial" w:hAnsi="Arial" w:cs="Arial"/>
                <w:sz w:val="20"/>
                <w:szCs w:val="20"/>
              </w:rPr>
            </w:pPr>
            <w:r>
              <w:rPr>
                <w:rFonts w:ascii="Arial" w:hAnsi="Arial" w:cs="Arial"/>
                <w:sz w:val="20"/>
                <w:szCs w:val="20"/>
              </w:rPr>
              <w:t xml:space="preserve">Annually </w:t>
            </w:r>
          </w:p>
        </w:tc>
        <w:tc>
          <w:tcPr>
            <w:tcW w:w="3827" w:type="dxa"/>
          </w:tcPr>
          <w:p w14:paraId="41AD3FDC" w14:textId="77777777" w:rsidR="00ED7715" w:rsidRPr="00E2432B" w:rsidRDefault="00ED7715" w:rsidP="009779D2">
            <w:pPr>
              <w:rPr>
                <w:rFonts w:ascii="Arial" w:hAnsi="Arial" w:cs="Arial"/>
                <w:sz w:val="20"/>
                <w:szCs w:val="20"/>
              </w:rPr>
            </w:pPr>
            <w:r w:rsidRPr="00E2432B">
              <w:rPr>
                <w:rFonts w:ascii="Arial" w:hAnsi="Arial" w:cs="Arial"/>
                <w:sz w:val="20"/>
                <w:szCs w:val="20"/>
              </w:rPr>
              <w:t xml:space="preserve">Sets out the principles that underpin curriculum design for all courses at the University. </w:t>
            </w:r>
          </w:p>
          <w:p w14:paraId="2E77AD45" w14:textId="77777777" w:rsidR="00ED7715" w:rsidRPr="00E2432B" w:rsidRDefault="00ED7715" w:rsidP="00DE2CA1">
            <w:pPr>
              <w:rPr>
                <w:rFonts w:ascii="Arial" w:hAnsi="Arial" w:cs="Arial"/>
                <w:sz w:val="20"/>
                <w:szCs w:val="20"/>
              </w:rPr>
            </w:pPr>
            <w:r w:rsidRPr="00E2432B">
              <w:rPr>
                <w:rFonts w:ascii="Arial" w:hAnsi="Arial" w:cs="Arial"/>
                <w:sz w:val="20"/>
                <w:szCs w:val="20"/>
              </w:rPr>
              <w:t>[</w:t>
            </w:r>
            <w:r w:rsidR="00EE612A" w:rsidRPr="00E2432B">
              <w:rPr>
                <w:rFonts w:ascii="Arial" w:hAnsi="Arial" w:cs="Arial"/>
                <w:sz w:val="20"/>
                <w:szCs w:val="20"/>
              </w:rPr>
              <w:t>N</w:t>
            </w:r>
            <w:r w:rsidRPr="00E2432B">
              <w:rPr>
                <w:rFonts w:ascii="Arial" w:hAnsi="Arial" w:cs="Arial"/>
                <w:sz w:val="20"/>
                <w:szCs w:val="20"/>
              </w:rPr>
              <w:t>ote – the document has electronic links to all associated policies and guidance]</w:t>
            </w:r>
          </w:p>
        </w:tc>
        <w:tc>
          <w:tcPr>
            <w:tcW w:w="3747" w:type="dxa"/>
          </w:tcPr>
          <w:p w14:paraId="403EFB72" w14:textId="77777777" w:rsidR="00DC2C44" w:rsidRDefault="00ED7715" w:rsidP="00AC6BF6">
            <w:pPr>
              <w:rPr>
                <w:rFonts w:ascii="Arial" w:hAnsi="Arial" w:cs="Arial"/>
                <w:sz w:val="20"/>
                <w:szCs w:val="20"/>
              </w:rPr>
            </w:pPr>
            <w:r w:rsidRPr="00E2432B">
              <w:rPr>
                <w:rFonts w:ascii="Arial" w:hAnsi="Arial" w:cs="Arial"/>
                <w:sz w:val="20"/>
                <w:szCs w:val="20"/>
              </w:rPr>
              <w:t>Essential point of reference for those responsible for developing new courses or reviewing existing courses; Guidance on writing learning outcomes and developing assessment criteria also available.</w:t>
            </w:r>
          </w:p>
          <w:p w14:paraId="4B4113EA" w14:textId="77777777" w:rsidR="00AA4DD8" w:rsidRPr="00E2432B" w:rsidRDefault="00AA4DD8" w:rsidP="00AC6BF6">
            <w:pPr>
              <w:rPr>
                <w:rFonts w:ascii="Arial" w:hAnsi="Arial" w:cs="Arial"/>
                <w:sz w:val="20"/>
                <w:szCs w:val="20"/>
              </w:rPr>
            </w:pPr>
          </w:p>
        </w:tc>
      </w:tr>
      <w:tr w:rsidR="00ED7715" w:rsidRPr="004055BD" w14:paraId="750AC333" w14:textId="77777777" w:rsidTr="008458B4">
        <w:tc>
          <w:tcPr>
            <w:tcW w:w="2405" w:type="dxa"/>
          </w:tcPr>
          <w:p w14:paraId="64D535FF" w14:textId="77777777" w:rsidR="00BE397C" w:rsidRDefault="006712D7" w:rsidP="00F5597D">
            <w:pPr>
              <w:rPr>
                <w:rStyle w:val="Hyperlink"/>
                <w:rFonts w:ascii="Arial" w:hAnsi="Arial" w:cs="Arial"/>
                <w:sz w:val="20"/>
                <w:szCs w:val="20"/>
              </w:rPr>
            </w:pPr>
            <w:hyperlink r:id="rId21" w:history="1">
              <w:hyperlink r:id="rId22" w:history="1">
                <w:r w:rsidR="00ED7715" w:rsidRPr="004055BD">
                  <w:rPr>
                    <w:rStyle w:val="Hyperlink"/>
                    <w:rFonts w:ascii="Arial" w:hAnsi="Arial" w:cs="Arial"/>
                    <w:sz w:val="20"/>
                    <w:szCs w:val="20"/>
                  </w:rPr>
                  <w:t>Diversity and Equality policies, schemes and action plans (for race, disability, gender)</w:t>
                </w:r>
              </w:hyperlink>
            </w:hyperlink>
          </w:p>
          <w:p w14:paraId="62855EE3" w14:textId="77777777" w:rsidR="007852EE" w:rsidRPr="004055BD" w:rsidRDefault="007852EE" w:rsidP="00F5597D">
            <w:pPr>
              <w:rPr>
                <w:rFonts w:ascii="Arial" w:hAnsi="Arial" w:cs="Arial"/>
                <w:sz w:val="20"/>
                <w:szCs w:val="20"/>
              </w:rPr>
            </w:pPr>
          </w:p>
        </w:tc>
        <w:tc>
          <w:tcPr>
            <w:tcW w:w="1985" w:type="dxa"/>
          </w:tcPr>
          <w:p w14:paraId="31960FD8" w14:textId="77777777" w:rsidR="00ED7715" w:rsidRPr="004055BD" w:rsidRDefault="00493C51" w:rsidP="009779D2">
            <w:pPr>
              <w:rPr>
                <w:rFonts w:ascii="Arial" w:hAnsi="Arial" w:cs="Arial"/>
                <w:sz w:val="20"/>
                <w:szCs w:val="20"/>
              </w:rPr>
            </w:pPr>
            <w:r>
              <w:rPr>
                <w:rFonts w:ascii="Arial" w:hAnsi="Arial" w:cs="Arial"/>
                <w:sz w:val="20"/>
                <w:szCs w:val="20"/>
              </w:rPr>
              <w:t xml:space="preserve">Various </w:t>
            </w:r>
          </w:p>
        </w:tc>
        <w:tc>
          <w:tcPr>
            <w:tcW w:w="1984" w:type="dxa"/>
          </w:tcPr>
          <w:p w14:paraId="64EAA217" w14:textId="77777777" w:rsidR="00ED7715" w:rsidRPr="004055BD" w:rsidRDefault="00141646" w:rsidP="009779D2">
            <w:pPr>
              <w:rPr>
                <w:rFonts w:ascii="Arial" w:hAnsi="Arial" w:cs="Arial"/>
                <w:sz w:val="20"/>
                <w:szCs w:val="20"/>
              </w:rPr>
            </w:pPr>
            <w:r>
              <w:rPr>
                <w:rFonts w:ascii="Arial" w:hAnsi="Arial" w:cs="Arial"/>
                <w:sz w:val="20"/>
                <w:szCs w:val="20"/>
              </w:rPr>
              <w:t>n/a</w:t>
            </w:r>
          </w:p>
        </w:tc>
        <w:tc>
          <w:tcPr>
            <w:tcW w:w="3827" w:type="dxa"/>
          </w:tcPr>
          <w:p w14:paraId="18593748" w14:textId="77777777" w:rsidR="00ED7715" w:rsidRPr="004055BD" w:rsidRDefault="00ED7715" w:rsidP="009779D2">
            <w:pPr>
              <w:rPr>
                <w:rFonts w:ascii="Arial" w:hAnsi="Arial" w:cs="Arial"/>
                <w:sz w:val="20"/>
                <w:szCs w:val="20"/>
              </w:rPr>
            </w:pPr>
            <w:r w:rsidRPr="004055BD">
              <w:rPr>
                <w:rFonts w:ascii="Arial" w:hAnsi="Arial" w:cs="Arial"/>
                <w:sz w:val="20"/>
                <w:szCs w:val="20"/>
              </w:rPr>
              <w:t>Legal obligation for HEIs to promote equality and to monitor; all statements include specific actions relating to learning and teaching/student experience.</w:t>
            </w:r>
          </w:p>
        </w:tc>
        <w:tc>
          <w:tcPr>
            <w:tcW w:w="3747" w:type="dxa"/>
          </w:tcPr>
          <w:p w14:paraId="31AA805A" w14:textId="77777777" w:rsidR="00ED7715" w:rsidRPr="004055BD" w:rsidRDefault="00ED7715" w:rsidP="009779D2">
            <w:pPr>
              <w:rPr>
                <w:rFonts w:ascii="Arial" w:hAnsi="Arial" w:cs="Arial"/>
                <w:sz w:val="20"/>
                <w:szCs w:val="20"/>
              </w:rPr>
            </w:pPr>
            <w:r w:rsidRPr="004055BD">
              <w:rPr>
                <w:rFonts w:ascii="Arial" w:hAnsi="Arial" w:cs="Arial"/>
                <w:sz w:val="20"/>
                <w:szCs w:val="20"/>
              </w:rPr>
              <w:t>All courses expected to take account of equality and diversity and inclusion as principles in course design.</w:t>
            </w:r>
          </w:p>
        </w:tc>
      </w:tr>
      <w:tr w:rsidR="00FC4A1C" w:rsidRPr="004055BD" w14:paraId="5F2E3FC7" w14:textId="77777777" w:rsidTr="008458B4">
        <w:tc>
          <w:tcPr>
            <w:tcW w:w="2405" w:type="dxa"/>
            <w:shd w:val="clear" w:color="auto" w:fill="auto"/>
          </w:tcPr>
          <w:p w14:paraId="4E7A1778" w14:textId="77777777" w:rsidR="00FC4A1C" w:rsidRDefault="006712D7" w:rsidP="00BB3AC3">
            <w:pPr>
              <w:rPr>
                <w:rFonts w:ascii="Arial" w:hAnsi="Arial" w:cs="Arial"/>
                <w:sz w:val="20"/>
                <w:szCs w:val="20"/>
              </w:rPr>
            </w:pPr>
            <w:hyperlink r:id="rId23" w:history="1">
              <w:r w:rsidR="00BB3AC3" w:rsidRPr="00EE17A7">
                <w:rPr>
                  <w:rStyle w:val="Hyperlink"/>
                  <w:rFonts w:ascii="Arial" w:hAnsi="Arial" w:cs="Arial"/>
                  <w:sz w:val="20"/>
                  <w:szCs w:val="20"/>
                </w:rPr>
                <w:t>Ethics Policy</w:t>
              </w:r>
            </w:hyperlink>
            <w:r w:rsidR="00BB3AC3" w:rsidRPr="00BB3AC3">
              <w:rPr>
                <w:rFonts w:ascii="Arial" w:hAnsi="Arial" w:cs="Arial"/>
                <w:sz w:val="20"/>
                <w:szCs w:val="20"/>
              </w:rPr>
              <w:t xml:space="preserve"> </w:t>
            </w:r>
          </w:p>
          <w:p w14:paraId="55FA6BA6" w14:textId="429E5044" w:rsidR="007A1146" w:rsidRPr="00BB3AC3" w:rsidRDefault="007A1146" w:rsidP="00BB3AC3">
            <w:pPr>
              <w:rPr>
                <w:rFonts w:ascii="Arial" w:hAnsi="Arial" w:cs="Arial"/>
                <w:sz w:val="20"/>
                <w:szCs w:val="20"/>
              </w:rPr>
            </w:pPr>
          </w:p>
        </w:tc>
        <w:tc>
          <w:tcPr>
            <w:tcW w:w="1985" w:type="dxa"/>
            <w:shd w:val="clear" w:color="auto" w:fill="auto"/>
          </w:tcPr>
          <w:p w14:paraId="03009FF7" w14:textId="77777777" w:rsidR="00FC4A1C" w:rsidRPr="00BB3AC3" w:rsidRDefault="00951E6F" w:rsidP="009779D2">
            <w:pPr>
              <w:rPr>
                <w:rFonts w:ascii="Arial" w:hAnsi="Arial" w:cs="Arial"/>
                <w:sz w:val="20"/>
                <w:szCs w:val="20"/>
              </w:rPr>
            </w:pPr>
            <w:r w:rsidRPr="00BB3AC3">
              <w:rPr>
                <w:rFonts w:ascii="Arial" w:hAnsi="Arial" w:cs="Arial"/>
                <w:sz w:val="20"/>
                <w:szCs w:val="20"/>
              </w:rPr>
              <w:t xml:space="preserve">October 2014 </w:t>
            </w:r>
          </w:p>
        </w:tc>
        <w:tc>
          <w:tcPr>
            <w:tcW w:w="1984" w:type="dxa"/>
            <w:shd w:val="clear" w:color="auto" w:fill="auto"/>
          </w:tcPr>
          <w:p w14:paraId="4A058658" w14:textId="6EDFD197" w:rsidR="00FC4A1C" w:rsidRPr="00BB3AC3" w:rsidRDefault="00BB3AC3" w:rsidP="00065DD2">
            <w:pPr>
              <w:rPr>
                <w:rFonts w:ascii="Arial" w:hAnsi="Arial" w:cs="Arial"/>
                <w:sz w:val="20"/>
                <w:szCs w:val="20"/>
              </w:rPr>
            </w:pPr>
            <w:r w:rsidRPr="00BB3AC3">
              <w:rPr>
                <w:rFonts w:ascii="Arial" w:hAnsi="Arial" w:cs="Arial"/>
                <w:sz w:val="20"/>
                <w:szCs w:val="20"/>
              </w:rPr>
              <w:t>Last update June 2017</w:t>
            </w:r>
          </w:p>
        </w:tc>
        <w:tc>
          <w:tcPr>
            <w:tcW w:w="3827" w:type="dxa"/>
            <w:shd w:val="clear" w:color="auto" w:fill="auto"/>
          </w:tcPr>
          <w:p w14:paraId="50FFBFFA" w14:textId="77777777" w:rsidR="00FC4A1C" w:rsidRPr="00FC4A1C" w:rsidRDefault="00FC4A1C" w:rsidP="00DF322C">
            <w:pPr>
              <w:pStyle w:val="Default"/>
              <w:rPr>
                <w:sz w:val="20"/>
                <w:szCs w:val="20"/>
              </w:rPr>
            </w:pPr>
            <w:r w:rsidRPr="00FC4A1C">
              <w:rPr>
                <w:color w:val="auto"/>
                <w:sz w:val="20"/>
                <w:szCs w:val="20"/>
              </w:rPr>
              <w:t xml:space="preserve">Sets out the principles and procedures for ethical approval of research. </w:t>
            </w:r>
          </w:p>
        </w:tc>
        <w:tc>
          <w:tcPr>
            <w:tcW w:w="3747" w:type="dxa"/>
            <w:shd w:val="clear" w:color="auto" w:fill="auto"/>
          </w:tcPr>
          <w:p w14:paraId="7E74BAC6" w14:textId="77777777" w:rsidR="00FC4A1C" w:rsidRPr="00FC4A1C" w:rsidRDefault="00FC4A1C" w:rsidP="00065DD2">
            <w:pPr>
              <w:rPr>
                <w:rFonts w:ascii="Arial" w:hAnsi="Arial" w:cs="Arial"/>
                <w:sz w:val="20"/>
                <w:szCs w:val="20"/>
              </w:rPr>
            </w:pPr>
            <w:r w:rsidRPr="00FC4A1C">
              <w:rPr>
                <w:rFonts w:ascii="Arial" w:hAnsi="Arial" w:cs="Arial"/>
                <w:sz w:val="20"/>
                <w:szCs w:val="20"/>
              </w:rPr>
              <w:t>Should feed into the design of all modules with a research component.</w:t>
            </w:r>
          </w:p>
        </w:tc>
      </w:tr>
      <w:tr w:rsidR="00C60196" w:rsidRPr="004055BD" w14:paraId="5F5560A8" w14:textId="77777777" w:rsidTr="008458B4">
        <w:tc>
          <w:tcPr>
            <w:tcW w:w="2405" w:type="dxa"/>
          </w:tcPr>
          <w:p w14:paraId="20A48001" w14:textId="77777777" w:rsidR="008F3636" w:rsidRDefault="006712D7" w:rsidP="00BE397C">
            <w:pPr>
              <w:rPr>
                <w:rStyle w:val="Hyperlink"/>
                <w:rFonts w:ascii="Arial" w:hAnsi="Arial" w:cs="Arial"/>
                <w:sz w:val="20"/>
                <w:szCs w:val="20"/>
              </w:rPr>
            </w:pPr>
            <w:hyperlink r:id="rId24" w:history="1">
              <w:r w:rsidR="008F3636">
                <w:rPr>
                  <w:rStyle w:val="Hyperlink"/>
                  <w:rFonts w:ascii="Arial" w:hAnsi="Arial" w:cs="Arial"/>
                  <w:sz w:val="20"/>
                  <w:szCs w:val="20"/>
                </w:rPr>
                <w:t xml:space="preserve">Flexible and Distributed Learning (including distance, e-learning and blended learning): Quality Standards </w:t>
              </w:r>
            </w:hyperlink>
          </w:p>
          <w:p w14:paraId="0C51AD42" w14:textId="74BA0D7E" w:rsidR="007A1146" w:rsidRPr="0083083B" w:rsidRDefault="007A1146" w:rsidP="00BE397C">
            <w:pPr>
              <w:rPr>
                <w:rFonts w:ascii="Arial" w:hAnsi="Arial" w:cs="Arial"/>
                <w:sz w:val="20"/>
                <w:szCs w:val="20"/>
              </w:rPr>
            </w:pPr>
          </w:p>
        </w:tc>
        <w:tc>
          <w:tcPr>
            <w:tcW w:w="1985" w:type="dxa"/>
          </w:tcPr>
          <w:p w14:paraId="34706909" w14:textId="77777777" w:rsidR="00C60196" w:rsidRPr="005C34EF" w:rsidRDefault="00C60196">
            <w:pPr>
              <w:rPr>
                <w:rFonts w:ascii="Arial" w:eastAsia="Calibri" w:hAnsi="Arial" w:cs="Arial"/>
                <w:color w:val="000000"/>
                <w:sz w:val="20"/>
                <w:szCs w:val="20"/>
                <w:lang w:eastAsia="en-US"/>
              </w:rPr>
            </w:pPr>
            <w:r w:rsidRPr="005C34EF">
              <w:rPr>
                <w:rFonts w:ascii="Arial" w:hAnsi="Arial" w:cs="Arial"/>
                <w:color w:val="000000"/>
                <w:sz w:val="20"/>
                <w:szCs w:val="20"/>
              </w:rPr>
              <w:t>Approved September 2006,</w:t>
            </w:r>
          </w:p>
          <w:p w14:paraId="577A509D" w14:textId="77777777" w:rsidR="00C60196" w:rsidRPr="005C34EF" w:rsidRDefault="00C60196" w:rsidP="00D41C38">
            <w:pPr>
              <w:rPr>
                <w:rFonts w:ascii="Arial" w:eastAsia="Calibri" w:hAnsi="Arial" w:cs="Arial"/>
                <w:color w:val="000000"/>
                <w:sz w:val="20"/>
                <w:szCs w:val="20"/>
                <w:lang w:eastAsia="en-US"/>
              </w:rPr>
            </w:pPr>
            <w:r w:rsidRPr="005C34EF">
              <w:rPr>
                <w:rFonts w:ascii="Arial" w:hAnsi="Arial" w:cs="Arial"/>
                <w:color w:val="000000"/>
                <w:sz w:val="20"/>
                <w:szCs w:val="20"/>
              </w:rPr>
              <w:t>reviewed</w:t>
            </w:r>
            <w:r w:rsidR="00A23685" w:rsidRPr="005C34EF">
              <w:rPr>
                <w:rFonts w:ascii="Arial" w:hAnsi="Arial" w:cs="Arial"/>
                <w:color w:val="000000"/>
                <w:sz w:val="20"/>
                <w:szCs w:val="20"/>
              </w:rPr>
              <w:t xml:space="preserve"> July 2014</w:t>
            </w:r>
          </w:p>
        </w:tc>
        <w:tc>
          <w:tcPr>
            <w:tcW w:w="1984" w:type="dxa"/>
          </w:tcPr>
          <w:p w14:paraId="0A7388C8" w14:textId="77777777" w:rsidR="00C60196" w:rsidRPr="005C34EF" w:rsidRDefault="0091288A" w:rsidP="00A913D1">
            <w:pPr>
              <w:rPr>
                <w:rFonts w:ascii="Arial" w:eastAsia="Calibri" w:hAnsi="Arial" w:cs="Arial"/>
                <w:color w:val="000000"/>
                <w:sz w:val="20"/>
                <w:szCs w:val="20"/>
                <w:lang w:eastAsia="en-US"/>
              </w:rPr>
            </w:pPr>
            <w:r w:rsidRPr="005A1138">
              <w:rPr>
                <w:rFonts w:ascii="Arial" w:hAnsi="Arial" w:cs="Arial"/>
                <w:color w:val="000000"/>
                <w:sz w:val="20"/>
                <w:szCs w:val="20"/>
              </w:rPr>
              <w:t>2016/17</w:t>
            </w:r>
            <w:r w:rsidR="009B3E03">
              <w:rPr>
                <w:rFonts w:ascii="Arial" w:hAnsi="Arial" w:cs="Arial"/>
                <w:color w:val="000000"/>
                <w:sz w:val="20"/>
                <w:szCs w:val="20"/>
              </w:rPr>
              <w:t xml:space="preserve"> (under review)</w:t>
            </w:r>
          </w:p>
        </w:tc>
        <w:tc>
          <w:tcPr>
            <w:tcW w:w="3827" w:type="dxa"/>
          </w:tcPr>
          <w:p w14:paraId="0D5309CC" w14:textId="77777777" w:rsidR="00C60196" w:rsidRPr="0083083B" w:rsidRDefault="00C60196" w:rsidP="00B33DAA">
            <w:pPr>
              <w:rPr>
                <w:rFonts w:ascii="Arial" w:hAnsi="Arial" w:cs="Arial"/>
                <w:sz w:val="20"/>
                <w:szCs w:val="20"/>
              </w:rPr>
            </w:pPr>
            <w:r w:rsidRPr="0083083B">
              <w:rPr>
                <w:rFonts w:ascii="Arial" w:hAnsi="Arial" w:cs="Arial"/>
                <w:sz w:val="20"/>
                <w:szCs w:val="20"/>
              </w:rPr>
              <w:t>Sets out expectations relating to courses/</w:t>
            </w:r>
            <w:r w:rsidR="00AB6CF2">
              <w:rPr>
                <w:rFonts w:ascii="Arial" w:hAnsi="Arial" w:cs="Arial"/>
                <w:sz w:val="20"/>
                <w:szCs w:val="20"/>
              </w:rPr>
              <w:t xml:space="preserve"> </w:t>
            </w:r>
            <w:r w:rsidRPr="0083083B">
              <w:rPr>
                <w:rFonts w:ascii="Arial" w:hAnsi="Arial" w:cs="Arial"/>
                <w:sz w:val="20"/>
                <w:szCs w:val="20"/>
              </w:rPr>
              <w:t>modules delivered in non-standard and/or mainly by distance/learning technologies.</w:t>
            </w:r>
          </w:p>
        </w:tc>
        <w:tc>
          <w:tcPr>
            <w:tcW w:w="3747" w:type="dxa"/>
          </w:tcPr>
          <w:p w14:paraId="45AB7FDF" w14:textId="77777777" w:rsidR="00AC6BF6" w:rsidRPr="0083083B" w:rsidRDefault="00C60196" w:rsidP="00DF322C">
            <w:pPr>
              <w:rPr>
                <w:rFonts w:ascii="Arial" w:hAnsi="Arial" w:cs="Arial"/>
                <w:sz w:val="20"/>
                <w:szCs w:val="20"/>
              </w:rPr>
            </w:pPr>
            <w:r w:rsidRPr="0083083B">
              <w:rPr>
                <w:rFonts w:ascii="Arial" w:hAnsi="Arial" w:cs="Arial"/>
                <w:sz w:val="20"/>
                <w:szCs w:val="20"/>
              </w:rPr>
              <w:t>Point of reference for design/</w:t>
            </w:r>
            <w:r w:rsidR="00625440">
              <w:rPr>
                <w:rFonts w:ascii="Arial" w:hAnsi="Arial" w:cs="Arial"/>
                <w:sz w:val="20"/>
                <w:szCs w:val="20"/>
              </w:rPr>
              <w:t xml:space="preserve"> </w:t>
            </w:r>
            <w:r w:rsidRPr="0083083B">
              <w:rPr>
                <w:rFonts w:ascii="Arial" w:hAnsi="Arial" w:cs="Arial"/>
                <w:sz w:val="20"/>
                <w:szCs w:val="20"/>
              </w:rPr>
              <w:t>development of courses/modules that involve significant delivery in distance/on-line modes of learning.  Involvement of e-learning team in design and development considered essential.</w:t>
            </w:r>
          </w:p>
        </w:tc>
      </w:tr>
      <w:tr w:rsidR="00680A72" w:rsidRPr="004055BD" w14:paraId="3A284822" w14:textId="77777777" w:rsidTr="008458B4">
        <w:tc>
          <w:tcPr>
            <w:tcW w:w="2405" w:type="dxa"/>
            <w:shd w:val="clear" w:color="auto" w:fill="auto"/>
          </w:tcPr>
          <w:p w14:paraId="6969F448" w14:textId="77777777" w:rsidR="00680A72" w:rsidRDefault="006712D7" w:rsidP="00176C37">
            <w:pPr>
              <w:pStyle w:val="Default"/>
              <w:rPr>
                <w:sz w:val="20"/>
                <w:szCs w:val="20"/>
                <w:lang w:val="en"/>
              </w:rPr>
            </w:pPr>
            <w:hyperlink r:id="rId25" w:tgtFrame="_blank" w:history="1">
              <w:r w:rsidR="006E3223" w:rsidRPr="006E3223">
                <w:rPr>
                  <w:rStyle w:val="Hyperlink"/>
                  <w:sz w:val="20"/>
                  <w:szCs w:val="20"/>
                  <w:lang w:val="en"/>
                </w:rPr>
                <w:t xml:space="preserve">Inclusive Assessment, making reasonable adjustments and providing for alternative assessment </w:t>
              </w:r>
              <w:r w:rsidR="006E3223" w:rsidRPr="006E3223">
                <w:rPr>
                  <w:rStyle w:val="Hyperlink"/>
                  <w:sz w:val="20"/>
                  <w:szCs w:val="20"/>
                  <w:lang w:val="en"/>
                </w:rPr>
                <w:lastRenderedPageBreak/>
                <w:t xml:space="preserve">arrangements - policy and procedures </w:t>
              </w:r>
            </w:hyperlink>
            <w:r w:rsidR="006E3223" w:rsidRPr="006E3223">
              <w:rPr>
                <w:sz w:val="20"/>
                <w:szCs w:val="20"/>
                <w:lang w:val="en"/>
              </w:rPr>
              <w:t xml:space="preserve"> </w:t>
            </w:r>
          </w:p>
          <w:p w14:paraId="20CD5389" w14:textId="77777777" w:rsidR="007852EE" w:rsidRPr="006E3223" w:rsidRDefault="007852EE" w:rsidP="00176C37">
            <w:pPr>
              <w:pStyle w:val="Default"/>
              <w:rPr>
                <w:color w:val="000000" w:themeColor="text1"/>
                <w:sz w:val="20"/>
                <w:szCs w:val="20"/>
              </w:rPr>
            </w:pPr>
          </w:p>
        </w:tc>
        <w:tc>
          <w:tcPr>
            <w:tcW w:w="1985" w:type="dxa"/>
            <w:shd w:val="clear" w:color="auto" w:fill="auto"/>
          </w:tcPr>
          <w:p w14:paraId="000A7F66" w14:textId="77777777" w:rsidR="00680A72" w:rsidRPr="00680A72" w:rsidRDefault="00680A72" w:rsidP="00176C37">
            <w:pPr>
              <w:rPr>
                <w:rFonts w:ascii="Arial" w:hAnsi="Arial" w:cs="Arial"/>
                <w:color w:val="000000" w:themeColor="text1"/>
                <w:sz w:val="20"/>
                <w:szCs w:val="20"/>
              </w:rPr>
            </w:pPr>
            <w:r w:rsidRPr="00680A72">
              <w:rPr>
                <w:rFonts w:ascii="Arial" w:hAnsi="Arial" w:cs="Arial"/>
                <w:color w:val="000000" w:themeColor="text1"/>
                <w:sz w:val="20"/>
                <w:szCs w:val="20"/>
              </w:rPr>
              <w:lastRenderedPageBreak/>
              <w:t>July 2016</w:t>
            </w:r>
          </w:p>
        </w:tc>
        <w:tc>
          <w:tcPr>
            <w:tcW w:w="1984" w:type="dxa"/>
            <w:shd w:val="clear" w:color="auto" w:fill="auto"/>
          </w:tcPr>
          <w:p w14:paraId="6FA39095" w14:textId="77777777" w:rsidR="00680A72" w:rsidRDefault="00680A72" w:rsidP="00176C37">
            <w:pPr>
              <w:rPr>
                <w:rFonts w:ascii="Arial" w:hAnsi="Arial" w:cs="Arial"/>
                <w:color w:val="000000" w:themeColor="text1"/>
                <w:sz w:val="20"/>
                <w:szCs w:val="20"/>
              </w:rPr>
            </w:pPr>
            <w:r w:rsidRPr="00680A72">
              <w:rPr>
                <w:rFonts w:ascii="Arial" w:hAnsi="Arial" w:cs="Arial"/>
                <w:color w:val="000000" w:themeColor="text1"/>
                <w:sz w:val="20"/>
                <w:szCs w:val="20"/>
              </w:rPr>
              <w:t>Spring 2019</w:t>
            </w:r>
          </w:p>
          <w:p w14:paraId="2DC60A41" w14:textId="1E2F3CCE" w:rsidR="002B766D" w:rsidRPr="00680A72" w:rsidRDefault="002B766D" w:rsidP="00176C37">
            <w:pPr>
              <w:rPr>
                <w:rFonts w:ascii="Arial" w:hAnsi="Arial" w:cs="Arial"/>
                <w:color w:val="000000" w:themeColor="text1"/>
                <w:sz w:val="20"/>
                <w:szCs w:val="20"/>
              </w:rPr>
            </w:pPr>
            <w:r>
              <w:rPr>
                <w:rFonts w:ascii="Arial" w:hAnsi="Arial" w:cs="Arial"/>
                <w:color w:val="000000" w:themeColor="text1"/>
                <w:sz w:val="20"/>
                <w:szCs w:val="20"/>
              </w:rPr>
              <w:t>(DDS)</w:t>
            </w:r>
          </w:p>
        </w:tc>
        <w:tc>
          <w:tcPr>
            <w:tcW w:w="3827" w:type="dxa"/>
          </w:tcPr>
          <w:p w14:paraId="21841ACF" w14:textId="77777777" w:rsidR="00680A72" w:rsidRPr="00680A72" w:rsidRDefault="00680A72" w:rsidP="00176C37">
            <w:pPr>
              <w:rPr>
                <w:rFonts w:ascii="Arial" w:hAnsi="Arial" w:cs="Arial"/>
                <w:color w:val="000000" w:themeColor="text1"/>
                <w:sz w:val="20"/>
                <w:szCs w:val="20"/>
              </w:rPr>
            </w:pPr>
            <w:r w:rsidRPr="00680A72">
              <w:rPr>
                <w:rFonts w:ascii="Arial" w:hAnsi="Arial" w:cs="Arial"/>
                <w:color w:val="000000" w:themeColor="text1"/>
                <w:sz w:val="20"/>
                <w:szCs w:val="20"/>
              </w:rPr>
              <w:t>To be considered in conjunction with the University’s Assessment Policy</w:t>
            </w:r>
            <w:r>
              <w:rPr>
                <w:rFonts w:ascii="Arial" w:hAnsi="Arial" w:cs="Arial"/>
                <w:color w:val="000000" w:themeColor="text1"/>
                <w:sz w:val="20"/>
                <w:szCs w:val="20"/>
              </w:rPr>
              <w:t>.</w:t>
            </w:r>
          </w:p>
        </w:tc>
        <w:tc>
          <w:tcPr>
            <w:tcW w:w="3747" w:type="dxa"/>
          </w:tcPr>
          <w:p w14:paraId="64054B58" w14:textId="77777777" w:rsidR="00680A72" w:rsidRPr="00476C92" w:rsidRDefault="00680A72" w:rsidP="009779D2">
            <w:pPr>
              <w:rPr>
                <w:rFonts w:ascii="Arial" w:hAnsi="Arial" w:cs="Arial"/>
                <w:color w:val="000000"/>
                <w:sz w:val="20"/>
                <w:szCs w:val="20"/>
              </w:rPr>
            </w:pPr>
          </w:p>
        </w:tc>
      </w:tr>
      <w:tr w:rsidR="004F2946" w:rsidRPr="004055BD" w14:paraId="78ABD2F2" w14:textId="77777777" w:rsidTr="008458B4">
        <w:tc>
          <w:tcPr>
            <w:tcW w:w="2405" w:type="dxa"/>
            <w:shd w:val="clear" w:color="auto" w:fill="auto"/>
          </w:tcPr>
          <w:p w14:paraId="36642009" w14:textId="77777777" w:rsidR="004F2946" w:rsidRDefault="006712D7" w:rsidP="00413BB2">
            <w:pPr>
              <w:rPr>
                <w:rFonts w:ascii="Arial" w:hAnsi="Arial" w:cs="Arial"/>
                <w:color w:val="0000FF"/>
                <w:sz w:val="20"/>
                <w:szCs w:val="20"/>
              </w:rPr>
            </w:pPr>
            <w:hyperlink r:id="rId26" w:history="1">
              <w:r w:rsidR="004F2946">
                <w:rPr>
                  <w:rStyle w:val="Hyperlink"/>
                  <w:rFonts w:ascii="Arial" w:hAnsi="Arial" w:cs="Arial"/>
                  <w:sz w:val="20"/>
                  <w:szCs w:val="20"/>
                </w:rPr>
                <w:t>Marketing and Publicity Materials for UW/Collaborative Partnerships and Provision Delivered by Partner Organisations - Policy for Approving</w:t>
              </w:r>
            </w:hyperlink>
            <w:r w:rsidR="004F2946">
              <w:rPr>
                <w:rFonts w:ascii="Arial" w:hAnsi="Arial" w:cs="Arial"/>
                <w:color w:val="0000FF"/>
                <w:sz w:val="20"/>
                <w:szCs w:val="20"/>
              </w:rPr>
              <w:t xml:space="preserve"> </w:t>
            </w:r>
          </w:p>
          <w:p w14:paraId="3A2DD163" w14:textId="77777777" w:rsidR="004F2946" w:rsidRPr="001B40E6" w:rsidRDefault="004F2946" w:rsidP="00413BB2">
            <w:pPr>
              <w:rPr>
                <w:rFonts w:ascii="Arial" w:hAnsi="Arial" w:cs="Arial"/>
                <w:color w:val="0000FF"/>
                <w:sz w:val="20"/>
                <w:szCs w:val="20"/>
                <w:highlight w:val="yellow"/>
              </w:rPr>
            </w:pPr>
          </w:p>
        </w:tc>
        <w:tc>
          <w:tcPr>
            <w:tcW w:w="1985" w:type="dxa"/>
            <w:shd w:val="clear" w:color="auto" w:fill="auto"/>
          </w:tcPr>
          <w:p w14:paraId="0AC68DD2" w14:textId="77777777" w:rsidR="004F2946" w:rsidRPr="006F486F" w:rsidRDefault="004F2946" w:rsidP="009779D2">
            <w:pPr>
              <w:rPr>
                <w:rFonts w:ascii="Arial" w:hAnsi="Arial" w:cs="Arial"/>
                <w:color w:val="000000"/>
                <w:sz w:val="20"/>
                <w:szCs w:val="20"/>
              </w:rPr>
            </w:pPr>
            <w:r w:rsidRPr="006F486F">
              <w:rPr>
                <w:rFonts w:ascii="Arial" w:hAnsi="Arial" w:cs="Arial"/>
                <w:color w:val="000000"/>
                <w:sz w:val="20"/>
                <w:szCs w:val="20"/>
              </w:rPr>
              <w:t>Approved January 2011</w:t>
            </w:r>
            <w:r>
              <w:rPr>
                <w:rFonts w:ascii="Arial" w:hAnsi="Arial" w:cs="Arial"/>
                <w:color w:val="000000"/>
                <w:sz w:val="20"/>
                <w:szCs w:val="20"/>
              </w:rPr>
              <w:t>, amended July 2013</w:t>
            </w:r>
            <w:r w:rsidR="009B3E03">
              <w:rPr>
                <w:rFonts w:ascii="Arial" w:hAnsi="Arial" w:cs="Arial"/>
                <w:color w:val="000000"/>
                <w:sz w:val="20"/>
                <w:szCs w:val="20"/>
              </w:rPr>
              <w:t>, and Jan 2018</w:t>
            </w:r>
          </w:p>
        </w:tc>
        <w:tc>
          <w:tcPr>
            <w:tcW w:w="1984" w:type="dxa"/>
            <w:shd w:val="clear" w:color="auto" w:fill="auto"/>
          </w:tcPr>
          <w:p w14:paraId="7E3B765F" w14:textId="77777777" w:rsidR="004F2946" w:rsidRPr="00141646" w:rsidRDefault="009B3E03" w:rsidP="00CF2F29">
            <w:pPr>
              <w:rPr>
                <w:rFonts w:ascii="Arial" w:hAnsi="Arial" w:cs="Arial"/>
                <w:sz w:val="20"/>
                <w:szCs w:val="20"/>
              </w:rPr>
            </w:pPr>
            <w:r>
              <w:rPr>
                <w:rFonts w:ascii="Arial" w:hAnsi="Arial" w:cs="Arial"/>
                <w:sz w:val="20"/>
                <w:szCs w:val="20"/>
              </w:rPr>
              <w:t>2019/20</w:t>
            </w:r>
          </w:p>
        </w:tc>
        <w:tc>
          <w:tcPr>
            <w:tcW w:w="3827" w:type="dxa"/>
          </w:tcPr>
          <w:p w14:paraId="4A39067C" w14:textId="77777777" w:rsidR="004F2946" w:rsidRPr="0079414B" w:rsidRDefault="004F2946" w:rsidP="00DF322C">
            <w:pPr>
              <w:rPr>
                <w:rFonts w:ascii="Arial" w:hAnsi="Arial" w:cs="Arial"/>
                <w:color w:val="000000"/>
                <w:sz w:val="20"/>
                <w:szCs w:val="20"/>
                <w:highlight w:val="yellow"/>
              </w:rPr>
            </w:pPr>
            <w:r w:rsidRPr="00FB1328">
              <w:rPr>
                <w:rFonts w:ascii="Arial" w:hAnsi="Arial" w:cs="Arial"/>
                <w:color w:val="000000"/>
                <w:sz w:val="20"/>
                <w:szCs w:val="20"/>
              </w:rPr>
              <w:t>Outlines for the University’s collaborative partner organisations the responsibilities and processes for approving ‘partner generated’ marketing and public information (including print, electronic and web-based material) and their use in promotional activities for collaborative provision and agreements</w:t>
            </w:r>
            <w:r>
              <w:rPr>
                <w:rFonts w:ascii="Arial" w:hAnsi="Arial" w:cs="Arial"/>
                <w:color w:val="000000"/>
                <w:sz w:val="20"/>
                <w:szCs w:val="20"/>
              </w:rPr>
              <w:t>.</w:t>
            </w:r>
            <w:r w:rsidRPr="00FB1328">
              <w:rPr>
                <w:rFonts w:ascii="Arial" w:hAnsi="Arial" w:cs="Arial"/>
                <w:color w:val="000000"/>
                <w:sz w:val="20"/>
                <w:szCs w:val="20"/>
              </w:rPr>
              <w:t xml:space="preserve"> </w:t>
            </w:r>
          </w:p>
        </w:tc>
        <w:tc>
          <w:tcPr>
            <w:tcW w:w="3747" w:type="dxa"/>
          </w:tcPr>
          <w:p w14:paraId="08BA9326" w14:textId="77777777" w:rsidR="004F2946" w:rsidRPr="0079414B" w:rsidRDefault="004F2946" w:rsidP="00FB1328">
            <w:pPr>
              <w:rPr>
                <w:rFonts w:ascii="Arial" w:hAnsi="Arial" w:cs="Arial"/>
                <w:color w:val="000000"/>
                <w:sz w:val="20"/>
                <w:szCs w:val="20"/>
                <w:highlight w:val="yellow"/>
              </w:rPr>
            </w:pPr>
            <w:r w:rsidRPr="006F486F">
              <w:rPr>
                <w:rFonts w:ascii="Arial" w:hAnsi="Arial" w:cs="Arial"/>
                <w:color w:val="000000"/>
                <w:sz w:val="20"/>
                <w:szCs w:val="20"/>
              </w:rPr>
              <w:t>Need to ensure all parties aware of and implement policy from outset, to first advertising of a programme.</w:t>
            </w:r>
          </w:p>
        </w:tc>
      </w:tr>
      <w:tr w:rsidR="004F2946" w:rsidRPr="004055BD" w14:paraId="4D35AE10" w14:textId="77777777" w:rsidTr="008458B4">
        <w:tc>
          <w:tcPr>
            <w:tcW w:w="2405" w:type="dxa"/>
          </w:tcPr>
          <w:p w14:paraId="72C88C51" w14:textId="77777777" w:rsidR="004F2946" w:rsidRPr="00680A72" w:rsidRDefault="006712D7" w:rsidP="00B758BB">
            <w:pPr>
              <w:rPr>
                <w:rFonts w:ascii="Arial" w:hAnsi="Arial" w:cs="Arial"/>
                <w:color w:val="1F497D"/>
                <w:sz w:val="20"/>
                <w:szCs w:val="20"/>
              </w:rPr>
            </w:pPr>
            <w:hyperlink r:id="rId27" w:history="1">
              <w:r w:rsidR="004F2946" w:rsidRPr="00680A72">
                <w:rPr>
                  <w:rStyle w:val="Hyperlink"/>
                  <w:rFonts w:ascii="Arial" w:hAnsi="Arial" w:cs="Arial"/>
                  <w:sz w:val="20"/>
                  <w:szCs w:val="20"/>
                </w:rPr>
                <w:t>Module Evaluation Policy</w:t>
              </w:r>
            </w:hyperlink>
            <w:r w:rsidR="004F2946" w:rsidRPr="00680A72">
              <w:rPr>
                <w:rFonts w:ascii="Arial" w:hAnsi="Arial" w:cs="Arial"/>
                <w:color w:val="1F497D"/>
                <w:sz w:val="20"/>
                <w:szCs w:val="20"/>
              </w:rPr>
              <w:t xml:space="preserve"> </w:t>
            </w:r>
          </w:p>
          <w:p w14:paraId="12BBE9C1" w14:textId="77777777" w:rsidR="004F2946" w:rsidRPr="00680A72" w:rsidRDefault="004F2946" w:rsidP="00B758BB">
            <w:pPr>
              <w:rPr>
                <w:rFonts w:ascii="Arial" w:hAnsi="Arial" w:cs="Arial"/>
                <w:color w:val="1F497D"/>
                <w:sz w:val="20"/>
                <w:szCs w:val="20"/>
              </w:rPr>
            </w:pPr>
          </w:p>
          <w:p w14:paraId="4E033AFF" w14:textId="77777777" w:rsidR="004F2946" w:rsidRPr="00680A72" w:rsidRDefault="006712D7" w:rsidP="005F2867">
            <w:pPr>
              <w:rPr>
                <w:rFonts w:ascii="Arial" w:hAnsi="Arial" w:cs="Arial"/>
                <w:sz w:val="20"/>
                <w:szCs w:val="20"/>
                <w:lang w:val="en"/>
              </w:rPr>
            </w:pPr>
            <w:hyperlink r:id="rId28" w:tgtFrame="_blank" w:history="1">
              <w:r w:rsidR="004F2946" w:rsidRPr="00680A72">
                <w:rPr>
                  <w:rStyle w:val="Hyperlink"/>
                  <w:rFonts w:ascii="Arial" w:hAnsi="Arial" w:cs="Arial"/>
                  <w:sz w:val="20"/>
                  <w:szCs w:val="20"/>
                  <w:lang w:val="en"/>
                </w:rPr>
                <w:t>Guidance for Use and Dissemination of Module Evaluation Results</w:t>
              </w:r>
            </w:hyperlink>
            <w:r w:rsidR="004F2946" w:rsidRPr="00680A72">
              <w:rPr>
                <w:rStyle w:val="Hyperlink"/>
                <w:rFonts w:ascii="Arial" w:hAnsi="Arial" w:cs="Arial"/>
                <w:sz w:val="20"/>
                <w:szCs w:val="20"/>
                <w:lang w:val="en"/>
              </w:rPr>
              <w:t xml:space="preserve"> </w:t>
            </w:r>
            <w:r w:rsidR="004F2946" w:rsidRPr="00680A72">
              <w:rPr>
                <w:rFonts w:ascii="Arial" w:hAnsi="Arial" w:cs="Arial"/>
                <w:sz w:val="20"/>
                <w:szCs w:val="20"/>
                <w:lang w:val="en"/>
              </w:rPr>
              <w:t xml:space="preserve"> </w:t>
            </w:r>
          </w:p>
          <w:p w14:paraId="6CFB3714" w14:textId="77777777" w:rsidR="004F2946" w:rsidRPr="00680A72" w:rsidRDefault="004F2946" w:rsidP="00B758BB">
            <w:pPr>
              <w:rPr>
                <w:rFonts w:ascii="Arial" w:hAnsi="Arial" w:cs="Arial"/>
                <w:color w:val="1F497D"/>
                <w:sz w:val="20"/>
                <w:szCs w:val="20"/>
              </w:rPr>
            </w:pPr>
          </w:p>
          <w:bookmarkStart w:id="1" w:name="_Hlk22716208"/>
          <w:p w14:paraId="7C7CF06D" w14:textId="77777777" w:rsidR="004F2946" w:rsidRPr="00680A72" w:rsidRDefault="00874F28" w:rsidP="00B758BB">
            <w:pPr>
              <w:rPr>
                <w:rFonts w:ascii="Arial" w:hAnsi="Arial" w:cs="Arial"/>
                <w:sz w:val="20"/>
                <w:szCs w:val="20"/>
              </w:rPr>
            </w:pPr>
            <w:r>
              <w:fldChar w:fldCharType="begin"/>
            </w:r>
            <w:r>
              <w:instrText xml:space="preserve"> HYPERLINK "http://www.worc.ac.uk/aqu/documents/Module_Evaluation_Questionnaire.docx" </w:instrText>
            </w:r>
            <w:r>
              <w:fldChar w:fldCharType="separate"/>
            </w:r>
            <w:r w:rsidR="004F2946" w:rsidRPr="00680A72">
              <w:rPr>
                <w:rStyle w:val="Hyperlink"/>
                <w:rFonts w:ascii="Arial" w:hAnsi="Arial" w:cs="Arial"/>
                <w:sz w:val="20"/>
                <w:szCs w:val="20"/>
              </w:rPr>
              <w:t>Module Evaluation Questionnaire</w:t>
            </w:r>
            <w:r>
              <w:rPr>
                <w:rStyle w:val="Hyperlink"/>
                <w:rFonts w:ascii="Arial" w:hAnsi="Arial" w:cs="Arial"/>
                <w:sz w:val="20"/>
                <w:szCs w:val="20"/>
              </w:rPr>
              <w:fldChar w:fldCharType="end"/>
            </w:r>
            <w:r w:rsidR="004F2946" w:rsidRPr="00680A72">
              <w:rPr>
                <w:rFonts w:ascii="Arial" w:hAnsi="Arial" w:cs="Arial"/>
                <w:sz w:val="20"/>
                <w:szCs w:val="20"/>
              </w:rPr>
              <w:t xml:space="preserve"> </w:t>
            </w:r>
          </w:p>
          <w:bookmarkEnd w:id="1"/>
          <w:p w14:paraId="602070AB" w14:textId="77777777" w:rsidR="004F2946" w:rsidRPr="00680A72" w:rsidRDefault="004F2946" w:rsidP="00B758BB">
            <w:pPr>
              <w:rPr>
                <w:rFonts w:ascii="Arial" w:hAnsi="Arial" w:cs="Arial"/>
                <w:sz w:val="20"/>
                <w:szCs w:val="20"/>
              </w:rPr>
            </w:pPr>
          </w:p>
          <w:p w14:paraId="578F3FB0" w14:textId="77777777" w:rsidR="004F2946" w:rsidRPr="00680A72" w:rsidRDefault="006712D7" w:rsidP="002A533E">
            <w:pPr>
              <w:rPr>
                <w:rFonts w:ascii="Arial" w:hAnsi="Arial" w:cs="Arial"/>
                <w:sz w:val="20"/>
                <w:szCs w:val="20"/>
              </w:rPr>
            </w:pPr>
            <w:hyperlink r:id="rId29" w:history="1">
              <w:r w:rsidR="004F2946" w:rsidRPr="00680A72">
                <w:rPr>
                  <w:rStyle w:val="Hyperlink"/>
                  <w:rFonts w:ascii="Arial" w:hAnsi="Arial" w:cs="Arial"/>
                  <w:sz w:val="20"/>
                  <w:szCs w:val="20"/>
                </w:rPr>
                <w:t>Module Evaluation Response Form</w:t>
              </w:r>
            </w:hyperlink>
            <w:r w:rsidR="004F2946" w:rsidRPr="00680A72">
              <w:rPr>
                <w:rFonts w:ascii="Arial" w:hAnsi="Arial" w:cs="Arial"/>
                <w:sz w:val="20"/>
                <w:szCs w:val="20"/>
              </w:rPr>
              <w:t xml:space="preserve"> </w:t>
            </w:r>
          </w:p>
          <w:p w14:paraId="2D8B2E89" w14:textId="77777777" w:rsidR="004F2946" w:rsidRPr="00680A72" w:rsidRDefault="004F2946" w:rsidP="005F2867">
            <w:pPr>
              <w:rPr>
                <w:rFonts w:ascii="Arial" w:hAnsi="Arial" w:cs="Arial"/>
                <w:sz w:val="20"/>
                <w:szCs w:val="20"/>
              </w:rPr>
            </w:pPr>
          </w:p>
        </w:tc>
        <w:tc>
          <w:tcPr>
            <w:tcW w:w="1985" w:type="dxa"/>
          </w:tcPr>
          <w:p w14:paraId="4F851150" w14:textId="77777777" w:rsidR="004F2946" w:rsidRPr="00680A72" w:rsidRDefault="004F2946" w:rsidP="00C9454B">
            <w:pPr>
              <w:rPr>
                <w:rFonts w:ascii="Arial" w:hAnsi="Arial" w:cs="Arial"/>
                <w:sz w:val="20"/>
                <w:szCs w:val="20"/>
              </w:rPr>
            </w:pPr>
            <w:r w:rsidRPr="00680A72">
              <w:rPr>
                <w:rFonts w:ascii="Arial" w:hAnsi="Arial" w:cs="Arial"/>
                <w:sz w:val="20"/>
                <w:szCs w:val="20"/>
              </w:rPr>
              <w:t>May 2016</w:t>
            </w:r>
          </w:p>
        </w:tc>
        <w:tc>
          <w:tcPr>
            <w:tcW w:w="1984" w:type="dxa"/>
          </w:tcPr>
          <w:p w14:paraId="3EF61835" w14:textId="77777777" w:rsidR="004F2946" w:rsidRPr="00680A72" w:rsidRDefault="004F2946" w:rsidP="009B3E03">
            <w:pPr>
              <w:rPr>
                <w:rFonts w:ascii="Arial" w:hAnsi="Arial" w:cs="Arial"/>
                <w:sz w:val="20"/>
                <w:szCs w:val="20"/>
              </w:rPr>
            </w:pPr>
            <w:r w:rsidRPr="00680A72">
              <w:rPr>
                <w:rFonts w:ascii="Arial" w:hAnsi="Arial" w:cs="Arial"/>
                <w:sz w:val="20"/>
                <w:szCs w:val="20"/>
              </w:rPr>
              <w:t>2018/19</w:t>
            </w:r>
            <w:r w:rsidRPr="00680A72">
              <w:rPr>
                <w:rFonts w:ascii="Arial" w:hAnsi="Arial" w:cs="Arial"/>
                <w:sz w:val="22"/>
                <w:szCs w:val="22"/>
              </w:rPr>
              <w:t xml:space="preserve"> </w:t>
            </w:r>
            <w:r w:rsidR="009B3E03" w:rsidRPr="00AA1911">
              <w:rPr>
                <w:rFonts w:ascii="Arial" w:hAnsi="Arial" w:cs="Arial"/>
                <w:sz w:val="20"/>
                <w:szCs w:val="20"/>
              </w:rPr>
              <w:t>(to be reviewed 2019/20)</w:t>
            </w:r>
          </w:p>
        </w:tc>
        <w:tc>
          <w:tcPr>
            <w:tcW w:w="3827" w:type="dxa"/>
          </w:tcPr>
          <w:p w14:paraId="020B838C" w14:textId="77777777" w:rsidR="004F2946" w:rsidRPr="00680A72" w:rsidRDefault="004F2946" w:rsidP="00B758BB">
            <w:pPr>
              <w:rPr>
                <w:rFonts w:ascii="Arial" w:hAnsi="Arial" w:cs="Arial"/>
                <w:sz w:val="20"/>
                <w:szCs w:val="20"/>
              </w:rPr>
            </w:pPr>
            <w:r w:rsidRPr="00680A72">
              <w:rPr>
                <w:rFonts w:ascii="Arial" w:hAnsi="Arial" w:cs="Arial"/>
                <w:sz w:val="20"/>
                <w:szCs w:val="20"/>
              </w:rPr>
              <w:t>Sets policy for all modules to be formally evaluated each time they are run by means of anonymous standardised questionnaire.</w:t>
            </w:r>
          </w:p>
        </w:tc>
        <w:tc>
          <w:tcPr>
            <w:tcW w:w="3747" w:type="dxa"/>
          </w:tcPr>
          <w:p w14:paraId="0EC2409E" w14:textId="77777777" w:rsidR="004F2946" w:rsidRPr="00C9454B" w:rsidRDefault="004F2946" w:rsidP="009779D2">
            <w:pPr>
              <w:rPr>
                <w:rFonts w:ascii="Arial" w:hAnsi="Arial" w:cs="Arial"/>
                <w:sz w:val="20"/>
                <w:szCs w:val="20"/>
                <w:highlight w:val="yellow"/>
              </w:rPr>
            </w:pPr>
          </w:p>
        </w:tc>
      </w:tr>
      <w:tr w:rsidR="004F2946" w:rsidRPr="004055BD" w14:paraId="4E0C1595" w14:textId="77777777" w:rsidTr="008458B4">
        <w:tc>
          <w:tcPr>
            <w:tcW w:w="2405" w:type="dxa"/>
            <w:shd w:val="clear" w:color="auto" w:fill="auto"/>
          </w:tcPr>
          <w:p w14:paraId="6AFACD25" w14:textId="77777777" w:rsidR="004F2946" w:rsidRDefault="006712D7" w:rsidP="00CF2C2C">
            <w:pPr>
              <w:rPr>
                <w:rFonts w:ascii="Arial" w:hAnsi="Arial" w:cs="Arial"/>
                <w:color w:val="0000FF"/>
                <w:sz w:val="20"/>
                <w:szCs w:val="20"/>
                <w:u w:val="single"/>
              </w:rPr>
            </w:pPr>
            <w:hyperlink r:id="rId30" w:tgtFrame="_blank" w:history="1">
              <w:r w:rsidR="00485E29" w:rsidRPr="00485E29">
                <w:rPr>
                  <w:rStyle w:val="Hyperlink"/>
                  <w:rFonts w:ascii="Arial" w:hAnsi="Arial" w:cs="Arial"/>
                  <w:sz w:val="20"/>
                  <w:szCs w:val="20"/>
                </w:rPr>
                <w:t>Peer-Supported Review of Teaching Policy</w:t>
              </w:r>
            </w:hyperlink>
          </w:p>
          <w:p w14:paraId="1F63834A" w14:textId="2E324647" w:rsidR="00485E29" w:rsidRPr="00485E29" w:rsidRDefault="00485E29" w:rsidP="00CF2C2C">
            <w:pPr>
              <w:rPr>
                <w:rFonts w:ascii="Arial" w:hAnsi="Arial" w:cs="Arial"/>
                <w:color w:val="FF0000"/>
                <w:sz w:val="20"/>
                <w:szCs w:val="20"/>
              </w:rPr>
            </w:pPr>
          </w:p>
        </w:tc>
        <w:tc>
          <w:tcPr>
            <w:tcW w:w="1985" w:type="dxa"/>
            <w:shd w:val="clear" w:color="auto" w:fill="auto"/>
          </w:tcPr>
          <w:p w14:paraId="47B081CD" w14:textId="77777777" w:rsidR="004F2946" w:rsidRPr="005C34EF" w:rsidRDefault="004F2946" w:rsidP="009779D2">
            <w:pPr>
              <w:rPr>
                <w:rFonts w:ascii="Arial" w:hAnsi="Arial" w:cs="Arial"/>
                <w:color w:val="000000"/>
                <w:sz w:val="20"/>
                <w:szCs w:val="20"/>
              </w:rPr>
            </w:pPr>
            <w:r w:rsidRPr="005C34EF">
              <w:rPr>
                <w:rFonts w:ascii="Arial" w:hAnsi="Arial" w:cs="Arial"/>
                <w:color w:val="000000"/>
                <w:sz w:val="20"/>
                <w:szCs w:val="20"/>
              </w:rPr>
              <w:t>July 2015</w:t>
            </w:r>
          </w:p>
        </w:tc>
        <w:tc>
          <w:tcPr>
            <w:tcW w:w="1984" w:type="dxa"/>
            <w:shd w:val="clear" w:color="auto" w:fill="auto"/>
          </w:tcPr>
          <w:p w14:paraId="59708018" w14:textId="77777777" w:rsidR="004F2946" w:rsidRPr="005C34EF" w:rsidRDefault="004F2946" w:rsidP="009B3E03">
            <w:pPr>
              <w:autoSpaceDE w:val="0"/>
              <w:autoSpaceDN w:val="0"/>
              <w:adjustRightInd w:val="0"/>
              <w:rPr>
                <w:rFonts w:ascii="Arial" w:hAnsi="Arial" w:cs="Arial"/>
                <w:color w:val="000000"/>
                <w:sz w:val="20"/>
                <w:szCs w:val="20"/>
              </w:rPr>
            </w:pPr>
            <w:r w:rsidRPr="005C34EF">
              <w:rPr>
                <w:rFonts w:ascii="Arial" w:hAnsi="Arial" w:cs="Arial"/>
                <w:color w:val="000000"/>
                <w:sz w:val="20"/>
                <w:szCs w:val="20"/>
              </w:rPr>
              <w:t xml:space="preserve">July 2018 </w:t>
            </w:r>
            <w:r w:rsidR="009B3E03">
              <w:rPr>
                <w:rFonts w:ascii="Arial" w:hAnsi="Arial" w:cs="Arial"/>
                <w:color w:val="000000"/>
                <w:sz w:val="20"/>
                <w:szCs w:val="20"/>
              </w:rPr>
              <w:t xml:space="preserve">(to be reviewed 2019/20) </w:t>
            </w:r>
          </w:p>
        </w:tc>
        <w:tc>
          <w:tcPr>
            <w:tcW w:w="3827" w:type="dxa"/>
            <w:shd w:val="clear" w:color="auto" w:fill="auto"/>
          </w:tcPr>
          <w:p w14:paraId="4BEF04C4" w14:textId="77777777" w:rsidR="004F2946" w:rsidRPr="005C34EF" w:rsidRDefault="004F2946" w:rsidP="00CF2C2C">
            <w:pPr>
              <w:rPr>
                <w:rFonts w:ascii="Arial" w:hAnsi="Arial" w:cs="Arial"/>
                <w:sz w:val="20"/>
                <w:szCs w:val="20"/>
              </w:rPr>
            </w:pPr>
            <w:r w:rsidRPr="005C34EF">
              <w:rPr>
                <w:rFonts w:ascii="Arial" w:hAnsi="Arial" w:cs="Arial"/>
                <w:color w:val="000000" w:themeColor="text1"/>
                <w:sz w:val="20"/>
                <w:szCs w:val="20"/>
              </w:rPr>
              <w:t xml:space="preserve">For 2015/16 this replaces </w:t>
            </w:r>
            <w:r w:rsidRPr="005C34EF">
              <w:rPr>
                <w:rFonts w:ascii="Arial" w:hAnsi="Arial" w:cs="Arial"/>
                <w:sz w:val="20"/>
                <w:szCs w:val="20"/>
              </w:rPr>
              <w:t xml:space="preserve">the Peer Learning through Observation Policy.  All </w:t>
            </w:r>
            <w:r w:rsidR="001B1DA1">
              <w:rPr>
                <w:rFonts w:ascii="Arial" w:hAnsi="Arial" w:cs="Arial"/>
                <w:sz w:val="20"/>
                <w:szCs w:val="20"/>
              </w:rPr>
              <w:t>School</w:t>
            </w:r>
            <w:r w:rsidRPr="005C34EF">
              <w:rPr>
                <w:rFonts w:ascii="Arial" w:hAnsi="Arial" w:cs="Arial"/>
                <w:sz w:val="20"/>
                <w:szCs w:val="20"/>
              </w:rPr>
              <w:t>s are required to implement a scheme which engages all staff in professional dialogue about aspects of teaching and learning practice.</w:t>
            </w:r>
          </w:p>
        </w:tc>
        <w:tc>
          <w:tcPr>
            <w:tcW w:w="3747" w:type="dxa"/>
          </w:tcPr>
          <w:p w14:paraId="2B96AA32" w14:textId="77777777" w:rsidR="004F2946" w:rsidRPr="004055BD" w:rsidRDefault="004F2946" w:rsidP="005C7DE5">
            <w:pPr>
              <w:rPr>
                <w:rFonts w:ascii="Arial" w:hAnsi="Arial" w:cs="Arial"/>
                <w:sz w:val="20"/>
                <w:szCs w:val="20"/>
              </w:rPr>
            </w:pPr>
          </w:p>
        </w:tc>
      </w:tr>
      <w:tr w:rsidR="004F2946" w:rsidRPr="004055BD" w14:paraId="10DF193C" w14:textId="77777777" w:rsidTr="008458B4">
        <w:tc>
          <w:tcPr>
            <w:tcW w:w="2405" w:type="dxa"/>
            <w:shd w:val="clear" w:color="auto" w:fill="auto"/>
          </w:tcPr>
          <w:p w14:paraId="30609AD6" w14:textId="77777777" w:rsidR="00B65B46" w:rsidRDefault="006712D7" w:rsidP="005C34EF">
            <w:pPr>
              <w:rPr>
                <w:rStyle w:val="Hyperlink"/>
                <w:rFonts w:ascii="Arial" w:hAnsi="Arial" w:cs="Arial"/>
                <w:sz w:val="20"/>
                <w:szCs w:val="20"/>
              </w:rPr>
            </w:pPr>
            <w:hyperlink r:id="rId31" w:history="1">
              <w:r w:rsidR="004F2946" w:rsidRPr="005C34EF">
                <w:rPr>
                  <w:rStyle w:val="Hyperlink"/>
                  <w:rFonts w:ascii="Arial" w:hAnsi="Arial" w:cs="Arial"/>
                  <w:sz w:val="20"/>
                  <w:szCs w:val="20"/>
                </w:rPr>
                <w:t>Personal Academic Tutoring Policy</w:t>
              </w:r>
            </w:hyperlink>
          </w:p>
          <w:p w14:paraId="40A4D1AA" w14:textId="471FF72C" w:rsidR="004F2946" w:rsidRPr="005C34EF" w:rsidRDefault="004F2946" w:rsidP="005C34EF"/>
        </w:tc>
        <w:tc>
          <w:tcPr>
            <w:tcW w:w="1985" w:type="dxa"/>
            <w:shd w:val="clear" w:color="auto" w:fill="auto"/>
          </w:tcPr>
          <w:p w14:paraId="28C299D9" w14:textId="77777777" w:rsidR="004F2946" w:rsidRPr="008458B4" w:rsidRDefault="004F2946" w:rsidP="009779D2">
            <w:pPr>
              <w:rPr>
                <w:rFonts w:ascii="Arial" w:hAnsi="Arial" w:cs="Arial"/>
                <w:color w:val="000000"/>
                <w:sz w:val="20"/>
                <w:szCs w:val="20"/>
              </w:rPr>
            </w:pPr>
            <w:r w:rsidRPr="008458B4">
              <w:rPr>
                <w:rFonts w:ascii="Arial" w:hAnsi="Arial" w:cs="Arial"/>
                <w:color w:val="000000"/>
                <w:sz w:val="20"/>
                <w:szCs w:val="20"/>
              </w:rPr>
              <w:t>July 2015</w:t>
            </w:r>
          </w:p>
          <w:p w14:paraId="0E0C4D1D" w14:textId="5E5E1A55" w:rsidR="005A0B00" w:rsidRPr="008458B4" w:rsidRDefault="005A0B00" w:rsidP="009779D2">
            <w:pPr>
              <w:rPr>
                <w:rFonts w:ascii="Arial" w:hAnsi="Arial" w:cs="Arial"/>
                <w:color w:val="000000"/>
                <w:sz w:val="20"/>
                <w:szCs w:val="20"/>
              </w:rPr>
            </w:pPr>
            <w:r w:rsidRPr="008458B4">
              <w:rPr>
                <w:rFonts w:ascii="Arial" w:hAnsi="Arial" w:cs="Arial"/>
                <w:color w:val="000000"/>
                <w:sz w:val="20"/>
                <w:szCs w:val="20"/>
              </w:rPr>
              <w:t>Reviewed September 2019</w:t>
            </w:r>
          </w:p>
        </w:tc>
        <w:tc>
          <w:tcPr>
            <w:tcW w:w="1984" w:type="dxa"/>
            <w:shd w:val="clear" w:color="auto" w:fill="auto"/>
          </w:tcPr>
          <w:p w14:paraId="08F709A9" w14:textId="3887E738" w:rsidR="004F2946" w:rsidRPr="008458B4" w:rsidRDefault="004F2946" w:rsidP="009B3E03">
            <w:pPr>
              <w:autoSpaceDE w:val="0"/>
              <w:autoSpaceDN w:val="0"/>
              <w:adjustRightInd w:val="0"/>
              <w:rPr>
                <w:rFonts w:ascii="Arial" w:hAnsi="Arial" w:cs="Arial"/>
                <w:color w:val="000000"/>
                <w:sz w:val="20"/>
                <w:szCs w:val="20"/>
              </w:rPr>
            </w:pPr>
            <w:r w:rsidRPr="008458B4">
              <w:rPr>
                <w:rFonts w:ascii="Arial" w:hAnsi="Arial" w:cs="Arial"/>
                <w:color w:val="000000"/>
                <w:sz w:val="20"/>
                <w:szCs w:val="20"/>
              </w:rPr>
              <w:t>July 20</w:t>
            </w:r>
            <w:r w:rsidR="001267D2" w:rsidRPr="008458B4">
              <w:rPr>
                <w:rFonts w:ascii="Arial" w:hAnsi="Arial" w:cs="Arial"/>
                <w:color w:val="000000"/>
                <w:sz w:val="20"/>
                <w:szCs w:val="20"/>
              </w:rPr>
              <w:t>22</w:t>
            </w:r>
            <w:r w:rsidR="009B3E03" w:rsidRPr="008458B4">
              <w:rPr>
                <w:rFonts w:ascii="Arial" w:hAnsi="Arial" w:cs="Arial"/>
                <w:color w:val="000000"/>
                <w:sz w:val="20"/>
                <w:szCs w:val="20"/>
              </w:rPr>
              <w:t xml:space="preserve"> </w:t>
            </w:r>
            <w:r w:rsidR="005A0B00" w:rsidRPr="008458B4">
              <w:rPr>
                <w:rFonts w:ascii="Arial" w:hAnsi="Arial" w:cs="Arial"/>
                <w:color w:val="000000"/>
                <w:sz w:val="20"/>
                <w:szCs w:val="20"/>
              </w:rPr>
              <w:t xml:space="preserve">(DQED) </w:t>
            </w:r>
          </w:p>
        </w:tc>
        <w:tc>
          <w:tcPr>
            <w:tcW w:w="3827" w:type="dxa"/>
            <w:shd w:val="clear" w:color="auto" w:fill="auto"/>
          </w:tcPr>
          <w:p w14:paraId="083A4DBF" w14:textId="77777777" w:rsidR="004F2946" w:rsidRPr="005C34EF" w:rsidRDefault="001B1DA1" w:rsidP="004D127D">
            <w:pPr>
              <w:rPr>
                <w:rFonts w:ascii="Arial" w:hAnsi="Arial" w:cs="Arial"/>
                <w:color w:val="000000"/>
                <w:sz w:val="20"/>
                <w:szCs w:val="20"/>
              </w:rPr>
            </w:pPr>
            <w:r>
              <w:rPr>
                <w:rFonts w:ascii="Arial" w:hAnsi="Arial" w:cs="Arial"/>
                <w:color w:val="000000"/>
                <w:sz w:val="20"/>
                <w:szCs w:val="20"/>
              </w:rPr>
              <w:t>School</w:t>
            </w:r>
            <w:r w:rsidR="004F2946" w:rsidRPr="005C34EF">
              <w:rPr>
                <w:rFonts w:ascii="Arial" w:hAnsi="Arial" w:cs="Arial"/>
                <w:color w:val="000000"/>
                <w:sz w:val="20"/>
                <w:szCs w:val="20"/>
              </w:rPr>
              <w:t>s are responsible for implementation and evaluation. R</w:t>
            </w:r>
            <w:r w:rsidR="004F2946" w:rsidRPr="005C34EF">
              <w:rPr>
                <w:rFonts w:ascii="Arial" w:hAnsi="Arial" w:cs="Arial"/>
                <w:sz w:val="20"/>
                <w:szCs w:val="20"/>
              </w:rPr>
              <w:t xml:space="preserve">eaffirms UW’s commitment to providing a system of personal academic support embedded in courses which is ‘front-loaded’ and pro-active.  The revisions give some flexibility to </w:t>
            </w:r>
            <w:r>
              <w:rPr>
                <w:rFonts w:ascii="Arial" w:hAnsi="Arial" w:cs="Arial"/>
                <w:sz w:val="20"/>
                <w:szCs w:val="20"/>
              </w:rPr>
              <w:t>School</w:t>
            </w:r>
            <w:r w:rsidR="004F2946" w:rsidRPr="005C34EF">
              <w:rPr>
                <w:rFonts w:ascii="Arial" w:hAnsi="Arial" w:cs="Arial"/>
                <w:sz w:val="20"/>
                <w:szCs w:val="20"/>
              </w:rPr>
              <w:t xml:space="preserve">s and courses in delivering the student entitlements.  </w:t>
            </w:r>
            <w:r w:rsidR="004F2946" w:rsidRPr="005C34EF">
              <w:rPr>
                <w:rFonts w:ascii="Arial" w:hAnsi="Arial" w:cs="Arial"/>
                <w:color w:val="000000"/>
                <w:sz w:val="20"/>
                <w:szCs w:val="20"/>
              </w:rPr>
              <w:t>Replaces the Academic Tutor Policy.</w:t>
            </w:r>
          </w:p>
        </w:tc>
        <w:tc>
          <w:tcPr>
            <w:tcW w:w="3747" w:type="dxa"/>
          </w:tcPr>
          <w:p w14:paraId="3FC55873" w14:textId="77777777" w:rsidR="004F2946" w:rsidRPr="00C9652B" w:rsidRDefault="004F2946" w:rsidP="00065DD2">
            <w:pPr>
              <w:rPr>
                <w:rFonts w:ascii="Arial" w:hAnsi="Arial" w:cs="Arial"/>
                <w:color w:val="000000"/>
                <w:sz w:val="20"/>
                <w:szCs w:val="20"/>
              </w:rPr>
            </w:pPr>
            <w:r w:rsidRPr="00C9652B">
              <w:rPr>
                <w:rFonts w:ascii="Arial" w:hAnsi="Arial" w:cs="Arial"/>
                <w:color w:val="000000"/>
                <w:sz w:val="20"/>
                <w:szCs w:val="20"/>
              </w:rPr>
              <w:t>Should be an integral part of the design of course and provision of academic support for students</w:t>
            </w:r>
            <w:r>
              <w:rPr>
                <w:rFonts w:ascii="Arial" w:hAnsi="Arial" w:cs="Arial"/>
                <w:color w:val="000000"/>
                <w:sz w:val="20"/>
                <w:szCs w:val="20"/>
              </w:rPr>
              <w:t>.</w:t>
            </w:r>
          </w:p>
        </w:tc>
      </w:tr>
      <w:tr w:rsidR="004F2946" w:rsidRPr="004055BD" w14:paraId="4FE0E62A" w14:textId="77777777" w:rsidTr="008458B4">
        <w:tc>
          <w:tcPr>
            <w:tcW w:w="2405" w:type="dxa"/>
            <w:shd w:val="clear" w:color="auto" w:fill="auto"/>
          </w:tcPr>
          <w:p w14:paraId="59D7C406" w14:textId="77777777" w:rsidR="004F2946" w:rsidRPr="0021060B" w:rsidRDefault="004F2946" w:rsidP="00176C37">
            <w:pPr>
              <w:rPr>
                <w:rFonts w:ascii="Arial" w:hAnsi="Arial" w:cs="Arial"/>
                <w:sz w:val="20"/>
                <w:szCs w:val="20"/>
              </w:rPr>
            </w:pPr>
            <w:r>
              <w:rPr>
                <w:rFonts w:ascii="Arial" w:hAnsi="Arial" w:cs="Arial"/>
                <w:sz w:val="20"/>
                <w:szCs w:val="20"/>
              </w:rPr>
              <w:t xml:space="preserve">See entries for </w:t>
            </w:r>
            <w:hyperlink r:id="rId32" w:history="1">
              <w:r w:rsidRPr="0021060B">
                <w:rPr>
                  <w:rStyle w:val="Hyperlink"/>
                  <w:rFonts w:ascii="Arial" w:hAnsi="Arial" w:cs="Arial"/>
                  <w:sz w:val="20"/>
                  <w:szCs w:val="20"/>
                </w:rPr>
                <w:t>Placement and Work-based Learning</w:t>
              </w:r>
            </w:hyperlink>
            <w:r w:rsidRPr="0021060B">
              <w:rPr>
                <w:rFonts w:ascii="Arial" w:hAnsi="Arial" w:cs="Arial"/>
                <w:sz w:val="20"/>
                <w:szCs w:val="20"/>
              </w:rPr>
              <w:t xml:space="preserve"> </w:t>
            </w:r>
          </w:p>
          <w:p w14:paraId="458800FB" w14:textId="77777777" w:rsidR="004F2946" w:rsidRPr="004D127D" w:rsidRDefault="004F2946" w:rsidP="00176C37">
            <w:pPr>
              <w:rPr>
                <w:rFonts w:ascii="Arial" w:hAnsi="Arial" w:cs="Arial"/>
                <w:i/>
                <w:sz w:val="20"/>
                <w:szCs w:val="20"/>
                <w:highlight w:val="yellow"/>
              </w:rPr>
            </w:pPr>
          </w:p>
        </w:tc>
        <w:tc>
          <w:tcPr>
            <w:tcW w:w="1985" w:type="dxa"/>
            <w:shd w:val="clear" w:color="auto" w:fill="auto"/>
          </w:tcPr>
          <w:p w14:paraId="0D9A7F1E" w14:textId="77777777" w:rsidR="004F2946" w:rsidRPr="00C9652B" w:rsidRDefault="004F2946" w:rsidP="00176C37">
            <w:pPr>
              <w:rPr>
                <w:rFonts w:ascii="Arial" w:hAnsi="Arial" w:cs="Arial"/>
                <w:sz w:val="20"/>
                <w:szCs w:val="20"/>
              </w:rPr>
            </w:pPr>
            <w:r w:rsidRPr="00C9652B">
              <w:rPr>
                <w:rFonts w:ascii="Arial" w:hAnsi="Arial" w:cs="Arial"/>
                <w:sz w:val="20"/>
                <w:szCs w:val="20"/>
              </w:rPr>
              <w:t>Approved July 2012</w:t>
            </w:r>
          </w:p>
        </w:tc>
        <w:tc>
          <w:tcPr>
            <w:tcW w:w="1984" w:type="dxa"/>
            <w:shd w:val="clear" w:color="auto" w:fill="auto"/>
          </w:tcPr>
          <w:p w14:paraId="7B0B64E2" w14:textId="77777777" w:rsidR="004F2946" w:rsidRPr="00C9652B" w:rsidRDefault="004F2946" w:rsidP="00176C37">
            <w:pPr>
              <w:rPr>
                <w:rFonts w:ascii="Arial" w:hAnsi="Arial" w:cs="Arial"/>
                <w:sz w:val="20"/>
                <w:szCs w:val="20"/>
              </w:rPr>
            </w:pPr>
            <w:r>
              <w:rPr>
                <w:rFonts w:ascii="Arial" w:eastAsia="Calibri" w:hAnsi="Arial" w:cs="Arial"/>
                <w:color w:val="000000"/>
                <w:sz w:val="20"/>
                <w:szCs w:val="20"/>
              </w:rPr>
              <w:t>July 2019 (SC)</w:t>
            </w:r>
          </w:p>
        </w:tc>
        <w:tc>
          <w:tcPr>
            <w:tcW w:w="3827" w:type="dxa"/>
          </w:tcPr>
          <w:p w14:paraId="7F2A1AC6" w14:textId="77777777" w:rsidR="004F2946" w:rsidRPr="00C9652B" w:rsidRDefault="004F2946" w:rsidP="00176C37">
            <w:pPr>
              <w:rPr>
                <w:rFonts w:ascii="Arial" w:hAnsi="Arial" w:cs="Arial"/>
                <w:color w:val="000000" w:themeColor="text1"/>
                <w:sz w:val="20"/>
                <w:szCs w:val="20"/>
              </w:rPr>
            </w:pPr>
            <w:r w:rsidRPr="00C9652B">
              <w:rPr>
                <w:rFonts w:ascii="Arial" w:hAnsi="Arial" w:cs="Arial"/>
                <w:color w:val="000000" w:themeColor="text1"/>
                <w:sz w:val="20"/>
                <w:szCs w:val="20"/>
              </w:rPr>
              <w:t>Sets out expectations and requirements relating to course/modules that provide work-based learning and/or placement opportunities.</w:t>
            </w:r>
          </w:p>
        </w:tc>
        <w:tc>
          <w:tcPr>
            <w:tcW w:w="3747" w:type="dxa"/>
          </w:tcPr>
          <w:p w14:paraId="0D5214B2" w14:textId="77777777" w:rsidR="004F2946" w:rsidRPr="0021060B" w:rsidRDefault="004F2946" w:rsidP="00176C37">
            <w:pPr>
              <w:rPr>
                <w:rFonts w:ascii="Arial" w:hAnsi="Arial" w:cs="Arial"/>
                <w:color w:val="000000" w:themeColor="text1"/>
                <w:sz w:val="20"/>
                <w:szCs w:val="20"/>
              </w:rPr>
            </w:pPr>
            <w:r w:rsidRPr="00C9652B">
              <w:rPr>
                <w:rFonts w:ascii="Arial" w:hAnsi="Arial" w:cs="Arial"/>
                <w:color w:val="000000" w:themeColor="text1"/>
                <w:sz w:val="20"/>
                <w:szCs w:val="20"/>
              </w:rPr>
              <w:t xml:space="preserve">All courses that include work-based learning </w:t>
            </w:r>
            <w:r w:rsidRPr="0021060B">
              <w:rPr>
                <w:rFonts w:ascii="Arial" w:hAnsi="Arial" w:cs="Arial"/>
                <w:color w:val="000000" w:themeColor="text1"/>
                <w:sz w:val="20"/>
                <w:szCs w:val="20"/>
              </w:rPr>
              <w:t>and/or student placements are required to carry out a risk assessment,</w:t>
            </w:r>
          </w:p>
          <w:p w14:paraId="20F0A065" w14:textId="77777777" w:rsidR="004F2946" w:rsidRDefault="004F2946" w:rsidP="00176C37">
            <w:pPr>
              <w:rPr>
                <w:rFonts w:ascii="Arial" w:hAnsi="Arial" w:cs="Arial"/>
                <w:color w:val="000000" w:themeColor="text1"/>
                <w:sz w:val="20"/>
                <w:szCs w:val="20"/>
              </w:rPr>
            </w:pPr>
            <w:r w:rsidRPr="0021060B">
              <w:rPr>
                <w:rFonts w:ascii="Arial" w:hAnsi="Arial" w:cs="Arial"/>
                <w:color w:val="000000" w:themeColor="text1"/>
                <w:sz w:val="20"/>
                <w:szCs w:val="20"/>
              </w:rPr>
              <w:t xml:space="preserve">provide student and employer/mentor handbooks for validation and complete the audit record. </w:t>
            </w:r>
          </w:p>
          <w:p w14:paraId="7D0F529A" w14:textId="77777777" w:rsidR="00BC46E5" w:rsidRPr="003A4A85" w:rsidRDefault="00BC46E5" w:rsidP="00176C37">
            <w:pPr>
              <w:rPr>
                <w:rFonts w:ascii="Arial" w:hAnsi="Arial" w:cs="Arial"/>
                <w:color w:val="FF0000"/>
                <w:sz w:val="20"/>
                <w:szCs w:val="20"/>
                <w:highlight w:val="yellow"/>
              </w:rPr>
            </w:pPr>
          </w:p>
        </w:tc>
      </w:tr>
      <w:tr w:rsidR="00AA1911" w:rsidRPr="004055BD" w14:paraId="4E7A81E3" w14:textId="77777777" w:rsidTr="008458B4">
        <w:tc>
          <w:tcPr>
            <w:tcW w:w="2405" w:type="dxa"/>
            <w:shd w:val="clear" w:color="auto" w:fill="auto"/>
          </w:tcPr>
          <w:p w14:paraId="0552C96C" w14:textId="53AC129F" w:rsidR="00AA1911" w:rsidRDefault="006712D7" w:rsidP="00AA1911">
            <w:pPr>
              <w:rPr>
                <w:rStyle w:val="Hyperlink"/>
                <w:rFonts w:ascii="Arial" w:hAnsi="Arial" w:cs="Arial"/>
                <w:sz w:val="20"/>
                <w:szCs w:val="20"/>
                <w:lang w:val="en"/>
              </w:rPr>
            </w:pPr>
            <w:hyperlink r:id="rId33" w:tgtFrame="_blank" w:history="1">
              <w:r w:rsidR="00AA1911" w:rsidRPr="00943518">
                <w:rPr>
                  <w:rStyle w:val="Hyperlink"/>
                  <w:rFonts w:ascii="Arial" w:hAnsi="Arial" w:cs="Arial"/>
                  <w:sz w:val="20"/>
                  <w:szCs w:val="20"/>
                  <w:lang w:val="en"/>
                </w:rPr>
                <w:t>Provision of Information for Prospective Students Policy</w:t>
              </w:r>
            </w:hyperlink>
          </w:p>
          <w:p w14:paraId="49F16CEE" w14:textId="55778845" w:rsidR="007832FE" w:rsidRDefault="007832FE" w:rsidP="003B1CFD"/>
        </w:tc>
        <w:tc>
          <w:tcPr>
            <w:tcW w:w="1985" w:type="dxa"/>
            <w:shd w:val="clear" w:color="auto" w:fill="auto"/>
          </w:tcPr>
          <w:p w14:paraId="4DECC8B1" w14:textId="0D21B159" w:rsidR="00AA1911" w:rsidRPr="00680A72" w:rsidRDefault="00AA1911" w:rsidP="00AA1911">
            <w:pPr>
              <w:rPr>
                <w:rFonts w:ascii="Arial" w:hAnsi="Arial" w:cs="Arial"/>
                <w:color w:val="000000"/>
                <w:sz w:val="20"/>
                <w:szCs w:val="20"/>
              </w:rPr>
            </w:pPr>
            <w:r w:rsidRPr="00E270AC">
              <w:rPr>
                <w:rFonts w:ascii="Arial" w:hAnsi="Arial" w:cs="Arial"/>
                <w:color w:val="000000"/>
                <w:sz w:val="20"/>
                <w:szCs w:val="20"/>
              </w:rPr>
              <w:t>31</w:t>
            </w:r>
            <w:r w:rsidRPr="00E270AC">
              <w:rPr>
                <w:rFonts w:ascii="Arial" w:hAnsi="Arial" w:cs="Arial"/>
                <w:color w:val="000000"/>
                <w:sz w:val="20"/>
                <w:szCs w:val="20"/>
                <w:vertAlign w:val="superscript"/>
              </w:rPr>
              <w:t>st</w:t>
            </w:r>
            <w:r w:rsidRPr="00E270AC">
              <w:rPr>
                <w:rFonts w:ascii="Arial" w:hAnsi="Arial" w:cs="Arial"/>
                <w:color w:val="000000"/>
                <w:sz w:val="20"/>
                <w:szCs w:val="20"/>
              </w:rPr>
              <w:t xml:space="preserve"> January 2018</w:t>
            </w:r>
          </w:p>
        </w:tc>
        <w:tc>
          <w:tcPr>
            <w:tcW w:w="1984" w:type="dxa"/>
            <w:shd w:val="clear" w:color="auto" w:fill="auto"/>
          </w:tcPr>
          <w:p w14:paraId="75F00C7D" w14:textId="77777777" w:rsidR="00AA1911" w:rsidRDefault="00AA1911" w:rsidP="00AA1911">
            <w:pPr>
              <w:rPr>
                <w:rFonts w:ascii="Arial" w:hAnsi="Arial" w:cs="Arial"/>
                <w:color w:val="000000"/>
                <w:sz w:val="20"/>
                <w:szCs w:val="20"/>
              </w:rPr>
            </w:pPr>
            <w:r w:rsidRPr="00E270AC">
              <w:rPr>
                <w:rFonts w:ascii="Arial" w:hAnsi="Arial" w:cs="Arial"/>
                <w:color w:val="000000"/>
                <w:sz w:val="20"/>
                <w:szCs w:val="20"/>
              </w:rPr>
              <w:t>January 2021</w:t>
            </w:r>
          </w:p>
          <w:p w14:paraId="0FDC0D2A" w14:textId="0287E862" w:rsidR="002B766D" w:rsidRDefault="002B766D" w:rsidP="00AA1911">
            <w:pPr>
              <w:rPr>
                <w:rFonts w:ascii="Arial" w:hAnsi="Arial" w:cs="Arial"/>
                <w:sz w:val="20"/>
                <w:szCs w:val="20"/>
              </w:rPr>
            </w:pPr>
            <w:r>
              <w:rPr>
                <w:rFonts w:ascii="Arial" w:hAnsi="Arial" w:cs="Arial"/>
                <w:color w:val="000000"/>
                <w:sz w:val="20"/>
                <w:szCs w:val="20"/>
              </w:rPr>
              <w:t>(Head Academic Quality)</w:t>
            </w:r>
          </w:p>
        </w:tc>
        <w:tc>
          <w:tcPr>
            <w:tcW w:w="3827" w:type="dxa"/>
            <w:shd w:val="clear" w:color="auto" w:fill="auto"/>
          </w:tcPr>
          <w:p w14:paraId="07F1B617" w14:textId="2DEDC67B" w:rsidR="00AA1911" w:rsidRPr="00680A72" w:rsidRDefault="00AA1911" w:rsidP="00AA1911">
            <w:pPr>
              <w:rPr>
                <w:rFonts w:ascii="Arial" w:hAnsi="Arial" w:cs="Arial"/>
                <w:color w:val="000000" w:themeColor="text1"/>
                <w:sz w:val="20"/>
                <w:szCs w:val="20"/>
              </w:rPr>
            </w:pPr>
            <w:r w:rsidRPr="00E270AC">
              <w:rPr>
                <w:rFonts w:ascii="Arial" w:hAnsi="Arial" w:cs="Arial"/>
                <w:sz w:val="20"/>
                <w:szCs w:val="20"/>
              </w:rPr>
              <w:t>Sets out the principles for providing and approving good quality course information for prospective students to enable them to make informed decisions about what and where to study.  It takes account of the guidance provided by the CMA (2015) and good practice guidance developed by HEFCE and QAA.</w:t>
            </w:r>
            <w:r w:rsidRPr="00E270AC">
              <w:rPr>
                <w:rFonts w:asciiTheme="majorHAnsi" w:hAnsiTheme="majorHAnsi" w:cs="Arial"/>
                <w:sz w:val="22"/>
                <w:szCs w:val="22"/>
              </w:rPr>
              <w:t> </w:t>
            </w:r>
          </w:p>
        </w:tc>
        <w:tc>
          <w:tcPr>
            <w:tcW w:w="3747" w:type="dxa"/>
            <w:shd w:val="clear" w:color="auto" w:fill="auto"/>
          </w:tcPr>
          <w:p w14:paraId="5EE33BD0" w14:textId="54A1865A" w:rsidR="00AA1911" w:rsidRPr="00AA1920" w:rsidRDefault="00AA1911" w:rsidP="00AA1911">
            <w:pPr>
              <w:rPr>
                <w:rFonts w:ascii="Arial" w:hAnsi="Arial" w:cs="Arial"/>
                <w:sz w:val="20"/>
                <w:szCs w:val="20"/>
              </w:rPr>
            </w:pPr>
            <w:r w:rsidRPr="00E270AC">
              <w:rPr>
                <w:rFonts w:ascii="Arial" w:hAnsi="Arial" w:cs="Arial"/>
                <w:sz w:val="20"/>
                <w:szCs w:val="20"/>
              </w:rPr>
              <w:t xml:space="preserve">Implications for course design are at the pre-CSG approval stage. Template is available for course teams to provide the requisite details. </w:t>
            </w:r>
          </w:p>
        </w:tc>
      </w:tr>
      <w:tr w:rsidR="00AA1911" w:rsidRPr="004055BD" w14:paraId="73CAF483" w14:textId="77777777" w:rsidTr="008458B4">
        <w:tc>
          <w:tcPr>
            <w:tcW w:w="2405" w:type="dxa"/>
            <w:shd w:val="clear" w:color="auto" w:fill="auto"/>
          </w:tcPr>
          <w:p w14:paraId="6D00C464" w14:textId="77777777" w:rsidR="00AA1911" w:rsidRDefault="006712D7" w:rsidP="00AA1911">
            <w:pPr>
              <w:pStyle w:val="Martin5"/>
              <w:spacing w:line="240" w:lineRule="auto"/>
              <w:rPr>
                <w:rFonts w:cs="Arial"/>
                <w:color w:val="0000FF"/>
                <w:w w:val="100"/>
                <w:sz w:val="20"/>
                <w:szCs w:val="20"/>
              </w:rPr>
            </w:pPr>
            <w:hyperlink r:id="rId34" w:history="1">
              <w:r w:rsidR="00AA1911">
                <w:rPr>
                  <w:rStyle w:val="Hyperlink"/>
                  <w:rFonts w:cs="Arial"/>
                  <w:w w:val="100"/>
                  <w:sz w:val="20"/>
                  <w:szCs w:val="20"/>
                </w:rPr>
                <w:t>Registered Lecturers for UW Collaborative Academic Provision - Policy for the Approval of</w:t>
              </w:r>
            </w:hyperlink>
            <w:r w:rsidR="00AA1911">
              <w:rPr>
                <w:rFonts w:cs="Arial"/>
                <w:color w:val="0000FF"/>
                <w:w w:val="100"/>
                <w:sz w:val="20"/>
                <w:szCs w:val="20"/>
              </w:rPr>
              <w:t xml:space="preserve"> </w:t>
            </w:r>
          </w:p>
          <w:p w14:paraId="6AA906B9" w14:textId="61CF691F" w:rsidR="007A1146" w:rsidRPr="00103481" w:rsidRDefault="007A1146" w:rsidP="00AA1911">
            <w:pPr>
              <w:pStyle w:val="Martin5"/>
              <w:spacing w:line="240" w:lineRule="auto"/>
              <w:rPr>
                <w:rFonts w:cs="Arial"/>
                <w:sz w:val="20"/>
                <w:szCs w:val="20"/>
                <w:highlight w:val="yellow"/>
              </w:rPr>
            </w:pPr>
          </w:p>
        </w:tc>
        <w:tc>
          <w:tcPr>
            <w:tcW w:w="1985" w:type="dxa"/>
            <w:shd w:val="clear" w:color="auto" w:fill="auto"/>
          </w:tcPr>
          <w:p w14:paraId="7173E66F" w14:textId="77777777" w:rsidR="00AA1911" w:rsidRPr="000B30D2" w:rsidRDefault="00AA1911" w:rsidP="00AA1911">
            <w:pPr>
              <w:rPr>
                <w:rFonts w:ascii="Arial" w:hAnsi="Arial" w:cs="Arial"/>
                <w:sz w:val="20"/>
                <w:szCs w:val="20"/>
              </w:rPr>
            </w:pPr>
            <w:r w:rsidRPr="000B30D2">
              <w:rPr>
                <w:rFonts w:ascii="Arial" w:hAnsi="Arial" w:cs="Arial"/>
                <w:color w:val="000000"/>
                <w:sz w:val="20"/>
                <w:szCs w:val="20"/>
              </w:rPr>
              <w:t>Approved January 2011</w:t>
            </w:r>
            <w:r>
              <w:rPr>
                <w:rFonts w:ascii="Arial" w:hAnsi="Arial" w:cs="Arial"/>
                <w:color w:val="000000"/>
                <w:sz w:val="20"/>
                <w:szCs w:val="20"/>
              </w:rPr>
              <w:t xml:space="preserve">, reviewed November 2014 </w:t>
            </w:r>
          </w:p>
        </w:tc>
        <w:tc>
          <w:tcPr>
            <w:tcW w:w="1984" w:type="dxa"/>
            <w:shd w:val="clear" w:color="auto" w:fill="auto"/>
          </w:tcPr>
          <w:p w14:paraId="065C1A80" w14:textId="77777777" w:rsidR="00AA1911" w:rsidRPr="000B30D2" w:rsidRDefault="00AA1911" w:rsidP="00AA1911">
            <w:pPr>
              <w:rPr>
                <w:rFonts w:ascii="Arial" w:hAnsi="Arial" w:cs="Arial"/>
                <w:sz w:val="20"/>
                <w:szCs w:val="20"/>
              </w:rPr>
            </w:pPr>
            <w:r>
              <w:rPr>
                <w:rFonts w:ascii="Arial" w:hAnsi="Arial" w:cs="Arial"/>
                <w:sz w:val="20"/>
                <w:szCs w:val="20"/>
              </w:rPr>
              <w:t>2018/19</w:t>
            </w:r>
            <w:r w:rsidRPr="000B30D2">
              <w:rPr>
                <w:rFonts w:ascii="Arial" w:hAnsi="Arial" w:cs="Arial"/>
                <w:sz w:val="20"/>
                <w:szCs w:val="20"/>
              </w:rPr>
              <w:t xml:space="preserve"> (SC)</w:t>
            </w:r>
          </w:p>
        </w:tc>
        <w:tc>
          <w:tcPr>
            <w:tcW w:w="3827" w:type="dxa"/>
          </w:tcPr>
          <w:p w14:paraId="167162D0" w14:textId="77777777" w:rsidR="00AA1911" w:rsidRPr="000B30D2" w:rsidRDefault="00AA1911" w:rsidP="00AA1911">
            <w:pPr>
              <w:rPr>
                <w:rFonts w:ascii="Arial" w:hAnsi="Arial" w:cs="Arial"/>
                <w:sz w:val="20"/>
                <w:szCs w:val="20"/>
              </w:rPr>
            </w:pPr>
            <w:r w:rsidRPr="000B30D2">
              <w:rPr>
                <w:rFonts w:ascii="Arial" w:hAnsi="Arial" w:cs="Arial"/>
                <w:sz w:val="20"/>
                <w:szCs w:val="20"/>
              </w:rPr>
              <w:t>Sets out the criteria used to approve Registered Lecturers for collaborative academic provision during course approval or for staff joining the course team for new or existing courses following approval</w:t>
            </w:r>
            <w:r>
              <w:rPr>
                <w:rFonts w:ascii="Arial" w:hAnsi="Arial" w:cs="Arial"/>
                <w:sz w:val="20"/>
                <w:szCs w:val="20"/>
              </w:rPr>
              <w:t>.</w:t>
            </w:r>
          </w:p>
        </w:tc>
        <w:tc>
          <w:tcPr>
            <w:tcW w:w="3747" w:type="dxa"/>
          </w:tcPr>
          <w:p w14:paraId="16E895E3" w14:textId="77777777" w:rsidR="00AA1911" w:rsidRPr="000B30D2" w:rsidRDefault="00AA1911" w:rsidP="00AA1911">
            <w:pPr>
              <w:rPr>
                <w:rFonts w:ascii="Arial" w:hAnsi="Arial" w:cs="Arial"/>
                <w:sz w:val="20"/>
                <w:szCs w:val="20"/>
              </w:rPr>
            </w:pPr>
            <w:r w:rsidRPr="000B30D2">
              <w:rPr>
                <w:rFonts w:ascii="Arial" w:hAnsi="Arial" w:cs="Arial"/>
                <w:sz w:val="20"/>
                <w:szCs w:val="20"/>
              </w:rPr>
              <w:t xml:space="preserve">Important reference point for University </w:t>
            </w:r>
            <w:r>
              <w:rPr>
                <w:rFonts w:ascii="Arial" w:hAnsi="Arial" w:cs="Arial"/>
                <w:sz w:val="20"/>
                <w:szCs w:val="20"/>
              </w:rPr>
              <w:t>School</w:t>
            </w:r>
            <w:r w:rsidRPr="000B30D2">
              <w:rPr>
                <w:rFonts w:ascii="Arial" w:hAnsi="Arial" w:cs="Arial"/>
                <w:sz w:val="20"/>
                <w:szCs w:val="20"/>
              </w:rPr>
              <w:t>s, Partner Course Leaders and Course Teams and HE Managers/those responsible for staffing UW courses in partner organisations</w:t>
            </w:r>
            <w:r>
              <w:rPr>
                <w:rFonts w:ascii="Arial" w:hAnsi="Arial" w:cs="Arial"/>
                <w:sz w:val="20"/>
                <w:szCs w:val="20"/>
              </w:rPr>
              <w:t>.</w:t>
            </w:r>
          </w:p>
        </w:tc>
      </w:tr>
      <w:tr w:rsidR="00AA1911" w:rsidRPr="004055BD" w14:paraId="362778C9" w14:textId="77777777" w:rsidTr="008458B4">
        <w:tc>
          <w:tcPr>
            <w:tcW w:w="2405" w:type="dxa"/>
            <w:shd w:val="clear" w:color="auto" w:fill="auto"/>
          </w:tcPr>
          <w:p w14:paraId="0231AAAE" w14:textId="2978BC03" w:rsidR="00AA1911" w:rsidRDefault="006712D7" w:rsidP="00AA1911">
            <w:pPr>
              <w:rPr>
                <w:rFonts w:ascii="Arial" w:hAnsi="Arial" w:cs="Arial"/>
                <w:i/>
                <w:color w:val="FF0000"/>
                <w:sz w:val="20"/>
                <w:szCs w:val="20"/>
              </w:rPr>
            </w:pPr>
            <w:hyperlink r:id="rId35" w:history="1">
              <w:r w:rsidR="00AA1911" w:rsidRPr="008C7E12">
                <w:rPr>
                  <w:rStyle w:val="Hyperlink"/>
                  <w:rFonts w:ascii="Arial" w:hAnsi="Arial" w:cs="Arial"/>
                  <w:sz w:val="20"/>
                  <w:szCs w:val="20"/>
                </w:rPr>
                <w:t>Student Attendance Policy</w:t>
              </w:r>
            </w:hyperlink>
            <w:r w:rsidR="00AA1911">
              <w:rPr>
                <w:rFonts w:ascii="Arial" w:hAnsi="Arial" w:cs="Arial"/>
                <w:color w:val="000000" w:themeColor="text1"/>
                <w:sz w:val="20"/>
                <w:szCs w:val="20"/>
              </w:rPr>
              <w:t xml:space="preserve"> </w:t>
            </w:r>
          </w:p>
          <w:p w14:paraId="466D791A" w14:textId="77777777" w:rsidR="00AA1911" w:rsidRPr="00713340" w:rsidRDefault="00AA1911" w:rsidP="00AA1911">
            <w:pPr>
              <w:rPr>
                <w:rFonts w:ascii="Arial" w:hAnsi="Arial" w:cs="Arial"/>
                <w:color w:val="000000" w:themeColor="text1"/>
                <w:sz w:val="20"/>
                <w:szCs w:val="20"/>
              </w:rPr>
            </w:pPr>
          </w:p>
          <w:p w14:paraId="43EC93E0" w14:textId="53626E63" w:rsidR="00AA1911" w:rsidRDefault="00AA1911" w:rsidP="00AA1911"/>
        </w:tc>
        <w:tc>
          <w:tcPr>
            <w:tcW w:w="1985" w:type="dxa"/>
            <w:shd w:val="clear" w:color="auto" w:fill="auto"/>
          </w:tcPr>
          <w:p w14:paraId="65F1DC67" w14:textId="70CBB482" w:rsidR="00AA1911" w:rsidRPr="00632F7D" w:rsidRDefault="00AA1911" w:rsidP="00AA1911">
            <w:pPr>
              <w:tabs>
                <w:tab w:val="right" w:pos="1839"/>
              </w:tabs>
              <w:rPr>
                <w:rFonts w:ascii="Arial" w:hAnsi="Arial" w:cs="Arial"/>
                <w:sz w:val="20"/>
                <w:szCs w:val="20"/>
              </w:rPr>
            </w:pPr>
            <w:r w:rsidRPr="001B517A">
              <w:rPr>
                <w:rFonts w:ascii="Arial" w:hAnsi="Arial" w:cs="Arial"/>
                <w:color w:val="000000"/>
                <w:sz w:val="20"/>
                <w:szCs w:val="20"/>
              </w:rPr>
              <w:t>4</w:t>
            </w:r>
            <w:r w:rsidRPr="001B517A">
              <w:rPr>
                <w:rFonts w:ascii="Arial" w:hAnsi="Arial" w:cs="Arial"/>
                <w:color w:val="000000"/>
                <w:sz w:val="20"/>
                <w:szCs w:val="20"/>
                <w:vertAlign w:val="superscript"/>
              </w:rPr>
              <w:t>th</w:t>
            </w:r>
            <w:r w:rsidRPr="001B517A">
              <w:rPr>
                <w:rFonts w:ascii="Arial" w:hAnsi="Arial" w:cs="Arial"/>
                <w:color w:val="000000"/>
                <w:sz w:val="20"/>
                <w:szCs w:val="20"/>
              </w:rPr>
              <w:t xml:space="preserve"> July 2018</w:t>
            </w:r>
          </w:p>
        </w:tc>
        <w:tc>
          <w:tcPr>
            <w:tcW w:w="1984" w:type="dxa"/>
            <w:shd w:val="clear" w:color="auto" w:fill="auto"/>
          </w:tcPr>
          <w:p w14:paraId="0AA14811" w14:textId="51D8DCCE" w:rsidR="00AA1911" w:rsidRPr="00632F7D" w:rsidRDefault="00AA1911" w:rsidP="00AA1911">
            <w:pPr>
              <w:rPr>
                <w:rFonts w:ascii="Arial" w:hAnsi="Arial" w:cs="Arial"/>
                <w:sz w:val="20"/>
                <w:szCs w:val="20"/>
              </w:rPr>
            </w:pPr>
            <w:r w:rsidRPr="001B517A">
              <w:rPr>
                <w:rFonts w:ascii="Arial" w:hAnsi="Arial" w:cs="Arial"/>
                <w:sz w:val="20"/>
                <w:szCs w:val="20"/>
              </w:rPr>
              <w:t>2019 (KP/WBJ)</w:t>
            </w:r>
          </w:p>
        </w:tc>
        <w:tc>
          <w:tcPr>
            <w:tcW w:w="3827" w:type="dxa"/>
          </w:tcPr>
          <w:p w14:paraId="6856762F" w14:textId="079BB52A" w:rsidR="00AA1911" w:rsidRPr="00632F7D" w:rsidRDefault="00AA1911" w:rsidP="00AA1911">
            <w:pPr>
              <w:tabs>
                <w:tab w:val="left" w:pos="567"/>
              </w:tabs>
              <w:contextualSpacing/>
              <w:rPr>
                <w:rFonts w:ascii="Arial" w:hAnsi="Arial" w:cs="Arial"/>
                <w:sz w:val="20"/>
                <w:szCs w:val="20"/>
              </w:rPr>
            </w:pPr>
            <w:r w:rsidRPr="001B517A">
              <w:rPr>
                <w:rFonts w:ascii="Arial" w:hAnsi="Arial" w:cs="Arial"/>
                <w:sz w:val="20"/>
                <w:szCs w:val="20"/>
              </w:rPr>
              <w:t>Provides a clear statement to students of the University’s expectations with regards to attendance, and also to ensure all staff understand their responsibilities with respect to monitoring student attendance and engagement.</w:t>
            </w:r>
          </w:p>
        </w:tc>
        <w:tc>
          <w:tcPr>
            <w:tcW w:w="3747" w:type="dxa"/>
          </w:tcPr>
          <w:p w14:paraId="5800EA40" w14:textId="520BCB07" w:rsidR="00AA1911" w:rsidRDefault="00AA1911" w:rsidP="00AA1911">
            <w:pPr>
              <w:rPr>
                <w:rFonts w:ascii="Arial" w:hAnsi="Arial" w:cs="Arial"/>
                <w:sz w:val="20"/>
                <w:szCs w:val="20"/>
              </w:rPr>
            </w:pPr>
          </w:p>
        </w:tc>
      </w:tr>
      <w:tr w:rsidR="00AA1911" w:rsidRPr="004055BD" w14:paraId="4FCB0972" w14:textId="77777777" w:rsidTr="008458B4">
        <w:tc>
          <w:tcPr>
            <w:tcW w:w="2405" w:type="dxa"/>
            <w:shd w:val="clear" w:color="auto" w:fill="auto"/>
          </w:tcPr>
          <w:p w14:paraId="7E6EDE3C" w14:textId="77777777" w:rsidR="00AA1911" w:rsidRDefault="006712D7" w:rsidP="00AA1911">
            <w:pPr>
              <w:rPr>
                <w:rStyle w:val="Hyperlink"/>
                <w:rFonts w:ascii="Arial" w:hAnsi="Arial" w:cs="Arial"/>
                <w:sz w:val="20"/>
                <w:szCs w:val="20"/>
              </w:rPr>
            </w:pPr>
            <w:hyperlink r:id="rId36" w:history="1">
              <w:r w:rsidR="00AA1911" w:rsidRPr="00632F7D">
                <w:rPr>
                  <w:rStyle w:val="Hyperlink"/>
                  <w:rFonts w:ascii="Arial" w:hAnsi="Arial" w:cs="Arial"/>
                  <w:sz w:val="20"/>
                  <w:szCs w:val="20"/>
                </w:rPr>
                <w:t>Student international mobility - Policy for the management of</w:t>
              </w:r>
            </w:hyperlink>
          </w:p>
          <w:p w14:paraId="4C1337A1" w14:textId="517B3361" w:rsidR="007A1146" w:rsidRPr="00632F7D" w:rsidRDefault="007A1146" w:rsidP="00AA1911">
            <w:pPr>
              <w:rPr>
                <w:rFonts w:ascii="Arial" w:hAnsi="Arial" w:cs="Arial"/>
                <w:sz w:val="20"/>
                <w:szCs w:val="20"/>
              </w:rPr>
            </w:pPr>
          </w:p>
        </w:tc>
        <w:tc>
          <w:tcPr>
            <w:tcW w:w="1985" w:type="dxa"/>
            <w:shd w:val="clear" w:color="auto" w:fill="auto"/>
          </w:tcPr>
          <w:p w14:paraId="184A0703" w14:textId="77777777" w:rsidR="00AA1911" w:rsidRPr="00632F7D" w:rsidRDefault="00AA1911" w:rsidP="00AA1911">
            <w:pPr>
              <w:tabs>
                <w:tab w:val="right" w:pos="1839"/>
              </w:tabs>
              <w:rPr>
                <w:rFonts w:ascii="Arial" w:hAnsi="Arial" w:cs="Arial"/>
                <w:sz w:val="20"/>
                <w:szCs w:val="20"/>
              </w:rPr>
            </w:pPr>
            <w:r w:rsidRPr="00632F7D">
              <w:rPr>
                <w:rFonts w:ascii="Arial" w:hAnsi="Arial" w:cs="Arial"/>
                <w:sz w:val="20"/>
                <w:szCs w:val="20"/>
              </w:rPr>
              <w:t>October 2016</w:t>
            </w:r>
          </w:p>
        </w:tc>
        <w:tc>
          <w:tcPr>
            <w:tcW w:w="1984" w:type="dxa"/>
            <w:shd w:val="clear" w:color="auto" w:fill="auto"/>
          </w:tcPr>
          <w:p w14:paraId="6AFBCAAA" w14:textId="77777777" w:rsidR="00AA1911" w:rsidRPr="00632F7D" w:rsidRDefault="00AA1911" w:rsidP="00AA1911">
            <w:pPr>
              <w:rPr>
                <w:rFonts w:ascii="Arial" w:hAnsi="Arial" w:cs="Arial"/>
                <w:sz w:val="20"/>
                <w:szCs w:val="20"/>
              </w:rPr>
            </w:pPr>
            <w:r w:rsidRPr="00632F7D">
              <w:rPr>
                <w:rFonts w:ascii="Arial" w:hAnsi="Arial" w:cs="Arial"/>
                <w:sz w:val="20"/>
                <w:szCs w:val="20"/>
              </w:rPr>
              <w:t>2019/20</w:t>
            </w:r>
          </w:p>
          <w:p w14:paraId="589ACE06" w14:textId="77777777" w:rsidR="00AA1911" w:rsidRPr="00632F7D" w:rsidRDefault="00AA1911" w:rsidP="00AA1911">
            <w:pPr>
              <w:rPr>
                <w:rFonts w:ascii="Arial" w:hAnsi="Arial" w:cs="Arial"/>
                <w:sz w:val="20"/>
                <w:szCs w:val="20"/>
              </w:rPr>
            </w:pPr>
            <w:r w:rsidRPr="00632F7D">
              <w:rPr>
                <w:rFonts w:ascii="Arial" w:hAnsi="Arial" w:cs="Arial"/>
                <w:sz w:val="20"/>
                <w:szCs w:val="20"/>
              </w:rPr>
              <w:t>Head of International Experience</w:t>
            </w:r>
          </w:p>
        </w:tc>
        <w:tc>
          <w:tcPr>
            <w:tcW w:w="3827" w:type="dxa"/>
          </w:tcPr>
          <w:p w14:paraId="45DE962B" w14:textId="77777777" w:rsidR="00AA1911" w:rsidRPr="0096311B" w:rsidRDefault="00AA1911" w:rsidP="00AA1911">
            <w:pPr>
              <w:tabs>
                <w:tab w:val="left" w:pos="567"/>
              </w:tabs>
              <w:contextualSpacing/>
              <w:rPr>
                <w:rFonts w:ascii="Arial" w:eastAsia="Calibri" w:hAnsi="Arial" w:cs="Arial"/>
                <w:sz w:val="22"/>
                <w:szCs w:val="22"/>
              </w:rPr>
            </w:pPr>
            <w:r w:rsidRPr="00632F7D">
              <w:rPr>
                <w:rFonts w:ascii="Arial" w:hAnsi="Arial" w:cs="Arial"/>
                <w:sz w:val="20"/>
                <w:szCs w:val="20"/>
              </w:rPr>
              <w:t>Sets out the key principles and processes for managing international mobility at UW in relation to:</w:t>
            </w:r>
            <w:r w:rsidRPr="00632F7D">
              <w:rPr>
                <w:rFonts w:ascii="Calibri" w:eastAsia="Calibri" w:hAnsi="Calibri" w:cs="Arial"/>
                <w:szCs w:val="22"/>
              </w:rPr>
              <w:br/>
            </w:r>
          </w:p>
          <w:p w14:paraId="0733CF3C" w14:textId="77777777" w:rsidR="00AA1911" w:rsidRPr="00632F7D" w:rsidRDefault="00AA1911" w:rsidP="00AA1911">
            <w:pPr>
              <w:pStyle w:val="ListParagraph"/>
              <w:numPr>
                <w:ilvl w:val="0"/>
                <w:numId w:val="9"/>
              </w:numPr>
              <w:tabs>
                <w:tab w:val="left" w:pos="567"/>
              </w:tabs>
              <w:ind w:left="396" w:hanging="396"/>
              <w:rPr>
                <w:rFonts w:ascii="Arial" w:hAnsi="Arial" w:cs="Arial"/>
                <w:sz w:val="20"/>
                <w:szCs w:val="20"/>
              </w:rPr>
            </w:pPr>
            <w:r w:rsidRPr="00632F7D">
              <w:rPr>
                <w:rFonts w:ascii="Arial" w:hAnsi="Arial" w:cs="Arial"/>
                <w:sz w:val="20"/>
                <w:szCs w:val="20"/>
              </w:rPr>
              <w:t>developing new partnerships for student international mobility</w:t>
            </w:r>
          </w:p>
          <w:p w14:paraId="69A1DB94" w14:textId="77777777" w:rsidR="00AA1911" w:rsidRPr="00632F7D" w:rsidRDefault="00AA1911" w:rsidP="00AA1911">
            <w:pPr>
              <w:pStyle w:val="ListParagraph"/>
              <w:numPr>
                <w:ilvl w:val="0"/>
                <w:numId w:val="9"/>
              </w:numPr>
              <w:tabs>
                <w:tab w:val="left" w:pos="567"/>
              </w:tabs>
              <w:ind w:left="396" w:hanging="396"/>
              <w:rPr>
                <w:rFonts w:ascii="Arial" w:hAnsi="Arial" w:cs="Arial"/>
                <w:sz w:val="20"/>
                <w:szCs w:val="20"/>
              </w:rPr>
            </w:pPr>
            <w:r w:rsidRPr="00632F7D">
              <w:rPr>
                <w:rFonts w:ascii="Arial" w:hAnsi="Arial" w:cs="Arial"/>
                <w:sz w:val="20"/>
                <w:szCs w:val="20"/>
              </w:rPr>
              <w:t>outgoing student mobility</w:t>
            </w:r>
          </w:p>
          <w:p w14:paraId="0171B21C" w14:textId="77777777" w:rsidR="00AA1911" w:rsidRPr="00632F7D" w:rsidRDefault="00AA1911" w:rsidP="00AA1911">
            <w:pPr>
              <w:pStyle w:val="ListParagraph"/>
              <w:numPr>
                <w:ilvl w:val="0"/>
                <w:numId w:val="9"/>
              </w:numPr>
              <w:tabs>
                <w:tab w:val="left" w:pos="567"/>
              </w:tabs>
              <w:ind w:left="396" w:hanging="396"/>
              <w:rPr>
                <w:rFonts w:ascii="Arial" w:hAnsi="Arial" w:cs="Arial"/>
                <w:sz w:val="20"/>
                <w:szCs w:val="20"/>
              </w:rPr>
            </w:pPr>
            <w:r w:rsidRPr="00632F7D">
              <w:rPr>
                <w:rFonts w:ascii="Arial" w:hAnsi="Arial" w:cs="Arial"/>
                <w:sz w:val="20"/>
                <w:szCs w:val="20"/>
              </w:rPr>
              <w:t>incoming student mobility.</w:t>
            </w:r>
          </w:p>
        </w:tc>
        <w:tc>
          <w:tcPr>
            <w:tcW w:w="3747" w:type="dxa"/>
          </w:tcPr>
          <w:p w14:paraId="01CA7A86" w14:textId="4E15DC81" w:rsidR="00AA1911" w:rsidRPr="000B30D2" w:rsidRDefault="00AA1911" w:rsidP="00AA1911">
            <w:pPr>
              <w:rPr>
                <w:rFonts w:ascii="Arial" w:hAnsi="Arial" w:cs="Arial"/>
                <w:sz w:val="20"/>
                <w:szCs w:val="20"/>
              </w:rPr>
            </w:pPr>
          </w:p>
        </w:tc>
      </w:tr>
      <w:tr w:rsidR="00AA1911" w:rsidRPr="004055BD" w14:paraId="1AD40758" w14:textId="77777777" w:rsidTr="008458B4">
        <w:tc>
          <w:tcPr>
            <w:tcW w:w="2405" w:type="dxa"/>
            <w:shd w:val="clear" w:color="auto" w:fill="auto"/>
          </w:tcPr>
          <w:p w14:paraId="3B364A8B" w14:textId="712C5DC2" w:rsidR="00AA1911" w:rsidRPr="005C34EF" w:rsidRDefault="006712D7" w:rsidP="00AA1911">
            <w:pPr>
              <w:pStyle w:val="Martin5"/>
              <w:spacing w:line="240" w:lineRule="auto"/>
              <w:rPr>
                <w:sz w:val="20"/>
                <w:szCs w:val="20"/>
              </w:rPr>
            </w:pPr>
            <w:hyperlink r:id="rId37" w:history="1">
              <w:r w:rsidR="00AA1911" w:rsidRPr="005C34EF">
                <w:rPr>
                  <w:rStyle w:val="Hyperlink"/>
                  <w:sz w:val="20"/>
                  <w:szCs w:val="20"/>
                </w:rPr>
                <w:t>Turnitin® Policy Statement</w:t>
              </w:r>
            </w:hyperlink>
          </w:p>
          <w:p w14:paraId="2CD685D9" w14:textId="77777777" w:rsidR="00AA1911" w:rsidRPr="005C34EF" w:rsidRDefault="00AA1911" w:rsidP="00AA1911">
            <w:pPr>
              <w:pStyle w:val="Martin5"/>
              <w:spacing w:line="240" w:lineRule="auto"/>
              <w:rPr>
                <w:sz w:val="20"/>
                <w:szCs w:val="20"/>
              </w:rPr>
            </w:pPr>
          </w:p>
        </w:tc>
        <w:tc>
          <w:tcPr>
            <w:tcW w:w="1985" w:type="dxa"/>
            <w:shd w:val="clear" w:color="auto" w:fill="auto"/>
          </w:tcPr>
          <w:p w14:paraId="3CD99705" w14:textId="77777777" w:rsidR="00AA1911" w:rsidRPr="005C34EF" w:rsidRDefault="00AA1911" w:rsidP="00AA1911">
            <w:pPr>
              <w:rPr>
                <w:rFonts w:ascii="Arial" w:hAnsi="Arial" w:cs="Arial"/>
                <w:color w:val="000000"/>
                <w:sz w:val="20"/>
                <w:szCs w:val="20"/>
              </w:rPr>
            </w:pPr>
            <w:r w:rsidRPr="005C34EF">
              <w:rPr>
                <w:rFonts w:ascii="Arial" w:hAnsi="Arial" w:cs="Arial"/>
                <w:color w:val="000000"/>
                <w:sz w:val="20"/>
                <w:szCs w:val="20"/>
              </w:rPr>
              <w:t>July 2014</w:t>
            </w:r>
            <w:r>
              <w:rPr>
                <w:rFonts w:ascii="Arial" w:hAnsi="Arial" w:cs="Arial"/>
                <w:color w:val="000000"/>
                <w:sz w:val="20"/>
                <w:szCs w:val="20"/>
              </w:rPr>
              <w:t xml:space="preserve"> with amendments 2017 and 2018</w:t>
            </w:r>
          </w:p>
        </w:tc>
        <w:tc>
          <w:tcPr>
            <w:tcW w:w="1984" w:type="dxa"/>
            <w:shd w:val="clear" w:color="auto" w:fill="auto"/>
          </w:tcPr>
          <w:p w14:paraId="028375B5" w14:textId="77777777" w:rsidR="00AA1911" w:rsidRPr="005C34EF" w:rsidRDefault="00AA1911" w:rsidP="00AA1911">
            <w:pPr>
              <w:rPr>
                <w:rFonts w:ascii="Arial" w:hAnsi="Arial" w:cs="Arial"/>
                <w:sz w:val="20"/>
                <w:szCs w:val="20"/>
              </w:rPr>
            </w:pPr>
            <w:r>
              <w:rPr>
                <w:rFonts w:ascii="Arial" w:hAnsi="Arial" w:cs="Arial"/>
                <w:sz w:val="20"/>
                <w:szCs w:val="20"/>
              </w:rPr>
              <w:t>2021</w:t>
            </w:r>
          </w:p>
        </w:tc>
        <w:tc>
          <w:tcPr>
            <w:tcW w:w="3827" w:type="dxa"/>
            <w:shd w:val="clear" w:color="auto" w:fill="auto"/>
          </w:tcPr>
          <w:p w14:paraId="084760E5" w14:textId="77777777" w:rsidR="00AA1911" w:rsidRPr="005C34EF" w:rsidRDefault="00AA1911" w:rsidP="00AA1911">
            <w:pPr>
              <w:autoSpaceDE w:val="0"/>
              <w:autoSpaceDN w:val="0"/>
              <w:adjustRightInd w:val="0"/>
              <w:rPr>
                <w:color w:val="000000" w:themeColor="text1"/>
                <w:sz w:val="20"/>
                <w:szCs w:val="20"/>
              </w:rPr>
            </w:pPr>
            <w:r w:rsidRPr="005C34EF">
              <w:rPr>
                <w:rFonts w:ascii="Arial" w:hAnsi="Arial" w:cs="Arial"/>
                <w:color w:val="000000" w:themeColor="text1"/>
                <w:sz w:val="20"/>
                <w:szCs w:val="20"/>
              </w:rPr>
              <w:t xml:space="preserve">The University </w:t>
            </w:r>
            <w:r>
              <w:rPr>
                <w:rFonts w:ascii="Arial" w:hAnsi="Arial" w:cs="Arial"/>
                <w:color w:val="000000" w:themeColor="text1"/>
                <w:sz w:val="20"/>
                <w:szCs w:val="20"/>
              </w:rPr>
              <w:t>uses Turnitin for the electronic management of assignments.  It also c</w:t>
            </w:r>
            <w:r w:rsidRPr="005C34EF">
              <w:rPr>
                <w:rFonts w:ascii="Arial" w:hAnsi="Arial" w:cs="Arial"/>
                <w:color w:val="000000" w:themeColor="text1"/>
                <w:sz w:val="20"/>
                <w:szCs w:val="20"/>
              </w:rPr>
              <w:t xml:space="preserve">ontinues to </w:t>
            </w:r>
            <w:r w:rsidRPr="005C34EF">
              <w:rPr>
                <w:rFonts w:ascii="Arial" w:hAnsi="Arial" w:cs="Arial"/>
                <w:sz w:val="20"/>
                <w:szCs w:val="20"/>
              </w:rPr>
              <w:t xml:space="preserve">regard </w:t>
            </w:r>
            <w:r>
              <w:rPr>
                <w:rFonts w:ascii="Arial" w:hAnsi="Arial" w:cs="Arial"/>
                <w:sz w:val="20"/>
                <w:szCs w:val="20"/>
              </w:rPr>
              <w:t xml:space="preserve">it as having a primary purpose at Level 4 </w:t>
            </w:r>
            <w:r w:rsidRPr="005C34EF">
              <w:rPr>
                <w:rFonts w:ascii="Arial" w:hAnsi="Arial" w:cs="Arial"/>
                <w:color w:val="000000"/>
                <w:sz w:val="20"/>
                <w:szCs w:val="20"/>
              </w:rPr>
              <w:t>to support students in understanding academic integrity and in the development and execution of the academic skills associated with referencing required in higher education. Turnitin will also be used to assist academic staff in</w:t>
            </w:r>
            <w:r w:rsidRPr="005C34EF">
              <w:rPr>
                <w:rFonts w:ascii="Arial" w:hAnsi="Arial" w:cs="Arial"/>
                <w:color w:val="000000"/>
              </w:rPr>
              <w:t xml:space="preserve"> </w:t>
            </w:r>
            <w:r w:rsidRPr="005C34EF">
              <w:rPr>
                <w:rFonts w:ascii="Arial" w:hAnsi="Arial" w:cs="Arial"/>
                <w:color w:val="000000"/>
                <w:sz w:val="20"/>
                <w:szCs w:val="20"/>
              </w:rPr>
              <w:t xml:space="preserve">the detection of plagiarism. </w:t>
            </w:r>
          </w:p>
        </w:tc>
        <w:tc>
          <w:tcPr>
            <w:tcW w:w="3747" w:type="dxa"/>
          </w:tcPr>
          <w:p w14:paraId="355CF741" w14:textId="77777777" w:rsidR="00AA1911" w:rsidRPr="001B1DA1" w:rsidRDefault="00AA1911" w:rsidP="00AA1911">
            <w:pPr>
              <w:pStyle w:val="Default"/>
              <w:rPr>
                <w:sz w:val="20"/>
                <w:szCs w:val="20"/>
              </w:rPr>
            </w:pPr>
            <w:r w:rsidRPr="001B1DA1">
              <w:rPr>
                <w:sz w:val="20"/>
                <w:szCs w:val="20"/>
              </w:rPr>
              <w:t xml:space="preserve">Courses are expected to use Turnitin as an educational tool for level four students, and to provide them with structured opportunities to submit formative work and discuss originality reports. </w:t>
            </w:r>
          </w:p>
          <w:p w14:paraId="4A863CB7" w14:textId="1320ECE2" w:rsidR="00AA1911" w:rsidRPr="000A1312" w:rsidRDefault="00AA1911" w:rsidP="00AA1911">
            <w:pPr>
              <w:rPr>
                <w:rFonts w:ascii="Arial" w:hAnsi="Arial" w:cs="Arial"/>
                <w:sz w:val="20"/>
                <w:szCs w:val="20"/>
              </w:rPr>
            </w:pPr>
          </w:p>
        </w:tc>
      </w:tr>
    </w:tbl>
    <w:p w14:paraId="102EF672" w14:textId="77777777" w:rsidR="00105F71" w:rsidRDefault="00105F71" w:rsidP="005A0B00">
      <w:pPr>
        <w:rPr>
          <w:rFonts w:ascii="Arial" w:hAnsi="Arial" w:cs="Arial"/>
          <w:sz w:val="20"/>
          <w:szCs w:val="20"/>
        </w:rPr>
      </w:pPr>
    </w:p>
    <w:sectPr w:rsidR="00105F71" w:rsidSect="00D46312">
      <w:footerReference w:type="default" r:id="rId38"/>
      <w:pgSz w:w="16838" w:h="11906" w:orient="landscape"/>
      <w:pgMar w:top="1078" w:right="1440" w:bottom="89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EED86" w14:textId="77777777" w:rsidR="00AA1911" w:rsidRDefault="00AA1911">
      <w:r>
        <w:separator/>
      </w:r>
    </w:p>
  </w:endnote>
  <w:endnote w:type="continuationSeparator" w:id="0">
    <w:p w14:paraId="0AF6E245" w14:textId="77777777" w:rsidR="00AA1911" w:rsidRDefault="00AA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E4B3" w14:textId="60AD3E0D" w:rsidR="00AA1911" w:rsidRPr="00AB4E3B" w:rsidRDefault="00AA1911" w:rsidP="0017650A">
    <w:pPr>
      <w:pStyle w:val="Footer"/>
      <w:jc w:val="center"/>
      <w:rPr>
        <w:rFonts w:ascii="Arial" w:hAnsi="Arial" w:cs="Arial"/>
        <w:sz w:val="16"/>
        <w:szCs w:val="16"/>
      </w:rPr>
    </w:pPr>
    <w:r w:rsidRPr="00AB4E3B">
      <w:rPr>
        <w:rFonts w:ascii="Arial" w:hAnsi="Arial" w:cs="Arial"/>
        <w:sz w:val="16"/>
        <w:szCs w:val="16"/>
      </w:rPr>
      <w:t xml:space="preserve">Page </w:t>
    </w:r>
    <w:r w:rsidRPr="00AB4E3B">
      <w:rPr>
        <w:rFonts w:ascii="Arial" w:hAnsi="Arial" w:cs="Arial"/>
        <w:sz w:val="16"/>
        <w:szCs w:val="16"/>
      </w:rPr>
      <w:fldChar w:fldCharType="begin"/>
    </w:r>
    <w:r w:rsidRPr="00AB4E3B">
      <w:rPr>
        <w:rFonts w:ascii="Arial" w:hAnsi="Arial" w:cs="Arial"/>
        <w:sz w:val="16"/>
        <w:szCs w:val="16"/>
      </w:rPr>
      <w:instrText xml:space="preserve"> PAGE </w:instrText>
    </w:r>
    <w:r w:rsidRPr="00AB4E3B">
      <w:rPr>
        <w:rFonts w:ascii="Arial" w:hAnsi="Arial" w:cs="Arial"/>
        <w:sz w:val="16"/>
        <w:szCs w:val="16"/>
      </w:rPr>
      <w:fldChar w:fldCharType="separate"/>
    </w:r>
    <w:r w:rsidR="006712D7">
      <w:rPr>
        <w:rFonts w:ascii="Arial" w:hAnsi="Arial" w:cs="Arial"/>
        <w:noProof/>
        <w:sz w:val="16"/>
        <w:szCs w:val="16"/>
      </w:rPr>
      <w:t>5</w:t>
    </w:r>
    <w:r w:rsidRPr="00AB4E3B">
      <w:rPr>
        <w:rFonts w:ascii="Arial" w:hAnsi="Arial" w:cs="Arial"/>
        <w:sz w:val="16"/>
        <w:szCs w:val="16"/>
      </w:rPr>
      <w:fldChar w:fldCharType="end"/>
    </w:r>
    <w:r w:rsidRPr="00AB4E3B">
      <w:rPr>
        <w:rFonts w:ascii="Arial" w:hAnsi="Arial" w:cs="Arial"/>
        <w:sz w:val="16"/>
        <w:szCs w:val="16"/>
      </w:rPr>
      <w:t xml:space="preserve"> of </w:t>
    </w:r>
    <w:r w:rsidRPr="00AB4E3B">
      <w:rPr>
        <w:rFonts w:ascii="Arial" w:hAnsi="Arial" w:cs="Arial"/>
        <w:sz w:val="16"/>
        <w:szCs w:val="16"/>
      </w:rPr>
      <w:fldChar w:fldCharType="begin"/>
    </w:r>
    <w:r w:rsidRPr="00AB4E3B">
      <w:rPr>
        <w:rFonts w:ascii="Arial" w:hAnsi="Arial" w:cs="Arial"/>
        <w:sz w:val="16"/>
        <w:szCs w:val="16"/>
      </w:rPr>
      <w:instrText xml:space="preserve"> NUMPAGES  </w:instrText>
    </w:r>
    <w:r w:rsidRPr="00AB4E3B">
      <w:rPr>
        <w:rFonts w:ascii="Arial" w:hAnsi="Arial" w:cs="Arial"/>
        <w:sz w:val="16"/>
        <w:szCs w:val="16"/>
      </w:rPr>
      <w:fldChar w:fldCharType="separate"/>
    </w:r>
    <w:r w:rsidR="006712D7">
      <w:rPr>
        <w:rFonts w:ascii="Arial" w:hAnsi="Arial" w:cs="Arial"/>
        <w:noProof/>
        <w:sz w:val="16"/>
        <w:szCs w:val="16"/>
      </w:rPr>
      <w:t>5</w:t>
    </w:r>
    <w:r w:rsidRPr="00AB4E3B">
      <w:rPr>
        <w:rFonts w:ascii="Arial" w:hAnsi="Arial" w:cs="Arial"/>
        <w:sz w:val="16"/>
        <w:szCs w:val="16"/>
      </w:rPr>
      <w:fldChar w:fldCharType="end"/>
    </w:r>
  </w:p>
  <w:p w14:paraId="117486DD" w14:textId="77777777" w:rsidR="00AA1911" w:rsidRPr="00AF7EB6" w:rsidRDefault="00AA1911" w:rsidP="00AF7EB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AE5D" w14:textId="77777777" w:rsidR="00AA1911" w:rsidRDefault="00AA1911">
      <w:r>
        <w:separator/>
      </w:r>
    </w:p>
  </w:footnote>
  <w:footnote w:type="continuationSeparator" w:id="0">
    <w:p w14:paraId="38ECCAFE" w14:textId="77777777" w:rsidR="00AA1911" w:rsidRDefault="00AA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922"/>
    <w:multiLevelType w:val="hybridMultilevel"/>
    <w:tmpl w:val="23782BCC"/>
    <w:lvl w:ilvl="0" w:tplc="782E04F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553451E"/>
    <w:multiLevelType w:val="hybridMultilevel"/>
    <w:tmpl w:val="37FADA1C"/>
    <w:lvl w:ilvl="0" w:tplc="10641BE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F01EA4"/>
    <w:multiLevelType w:val="hybridMultilevel"/>
    <w:tmpl w:val="0F7A2712"/>
    <w:lvl w:ilvl="0" w:tplc="F9FE514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4F35660"/>
    <w:multiLevelType w:val="hybridMultilevel"/>
    <w:tmpl w:val="D6D428C0"/>
    <w:lvl w:ilvl="0" w:tplc="03982AC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556067"/>
    <w:multiLevelType w:val="hybridMultilevel"/>
    <w:tmpl w:val="384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66C7D"/>
    <w:multiLevelType w:val="multilevel"/>
    <w:tmpl w:val="775C9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E5DCC"/>
    <w:multiLevelType w:val="hybridMultilevel"/>
    <w:tmpl w:val="2BFEF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CB55CF"/>
    <w:multiLevelType w:val="hybridMultilevel"/>
    <w:tmpl w:val="E8B4C872"/>
    <w:lvl w:ilvl="0" w:tplc="9852034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A48F7"/>
    <w:multiLevelType w:val="hybridMultilevel"/>
    <w:tmpl w:val="EBB4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104D6"/>
    <w:multiLevelType w:val="hybridMultilevel"/>
    <w:tmpl w:val="77CA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CD"/>
    <w:rsid w:val="000022DE"/>
    <w:rsid w:val="00006582"/>
    <w:rsid w:val="0000685C"/>
    <w:rsid w:val="00011734"/>
    <w:rsid w:val="0001283A"/>
    <w:rsid w:val="00013EDA"/>
    <w:rsid w:val="00016C02"/>
    <w:rsid w:val="0002058E"/>
    <w:rsid w:val="00021A2D"/>
    <w:rsid w:val="00022FE4"/>
    <w:rsid w:val="00026101"/>
    <w:rsid w:val="0003049E"/>
    <w:rsid w:val="000304CD"/>
    <w:rsid w:val="00034A41"/>
    <w:rsid w:val="00035D49"/>
    <w:rsid w:val="00042B85"/>
    <w:rsid w:val="0004542E"/>
    <w:rsid w:val="000458FA"/>
    <w:rsid w:val="00046247"/>
    <w:rsid w:val="000467D2"/>
    <w:rsid w:val="000475FF"/>
    <w:rsid w:val="00047CBA"/>
    <w:rsid w:val="00050315"/>
    <w:rsid w:val="00050AEC"/>
    <w:rsid w:val="000528E1"/>
    <w:rsid w:val="0005319F"/>
    <w:rsid w:val="000547AA"/>
    <w:rsid w:val="00060938"/>
    <w:rsid w:val="0006226E"/>
    <w:rsid w:val="000637AE"/>
    <w:rsid w:val="000643A9"/>
    <w:rsid w:val="00065DD2"/>
    <w:rsid w:val="000673A6"/>
    <w:rsid w:val="00067505"/>
    <w:rsid w:val="0007023E"/>
    <w:rsid w:val="000717E3"/>
    <w:rsid w:val="000750A3"/>
    <w:rsid w:val="00077DBC"/>
    <w:rsid w:val="00084815"/>
    <w:rsid w:val="00085154"/>
    <w:rsid w:val="0008524B"/>
    <w:rsid w:val="000922C4"/>
    <w:rsid w:val="00094BE0"/>
    <w:rsid w:val="00095A83"/>
    <w:rsid w:val="000964C7"/>
    <w:rsid w:val="000A0969"/>
    <w:rsid w:val="000A1312"/>
    <w:rsid w:val="000A1A04"/>
    <w:rsid w:val="000A3807"/>
    <w:rsid w:val="000A6038"/>
    <w:rsid w:val="000B1264"/>
    <w:rsid w:val="000B1E13"/>
    <w:rsid w:val="000B30D2"/>
    <w:rsid w:val="000B38A1"/>
    <w:rsid w:val="000B46D6"/>
    <w:rsid w:val="000B5741"/>
    <w:rsid w:val="000B5B2D"/>
    <w:rsid w:val="000C0922"/>
    <w:rsid w:val="000C2251"/>
    <w:rsid w:val="000C76E1"/>
    <w:rsid w:val="000D1E03"/>
    <w:rsid w:val="000D7DD5"/>
    <w:rsid w:val="000E02D6"/>
    <w:rsid w:val="000E3E5B"/>
    <w:rsid w:val="000E49A4"/>
    <w:rsid w:val="000F1B6B"/>
    <w:rsid w:val="000F2A81"/>
    <w:rsid w:val="000F48FA"/>
    <w:rsid w:val="00101112"/>
    <w:rsid w:val="001017CD"/>
    <w:rsid w:val="00103481"/>
    <w:rsid w:val="0010515C"/>
    <w:rsid w:val="001058AD"/>
    <w:rsid w:val="00105F71"/>
    <w:rsid w:val="00111243"/>
    <w:rsid w:val="0011341A"/>
    <w:rsid w:val="001142D1"/>
    <w:rsid w:val="00115636"/>
    <w:rsid w:val="00120677"/>
    <w:rsid w:val="00120721"/>
    <w:rsid w:val="00121926"/>
    <w:rsid w:val="0012304F"/>
    <w:rsid w:val="00123197"/>
    <w:rsid w:val="00123B1B"/>
    <w:rsid w:val="001245C7"/>
    <w:rsid w:val="001264CB"/>
    <w:rsid w:val="001267D2"/>
    <w:rsid w:val="00131FF2"/>
    <w:rsid w:val="00134682"/>
    <w:rsid w:val="00141015"/>
    <w:rsid w:val="00141646"/>
    <w:rsid w:val="00141F9F"/>
    <w:rsid w:val="00142615"/>
    <w:rsid w:val="00147F1B"/>
    <w:rsid w:val="00151031"/>
    <w:rsid w:val="001516F8"/>
    <w:rsid w:val="001520F8"/>
    <w:rsid w:val="00152331"/>
    <w:rsid w:val="00155040"/>
    <w:rsid w:val="0015663A"/>
    <w:rsid w:val="001601E0"/>
    <w:rsid w:val="00161FAC"/>
    <w:rsid w:val="00165270"/>
    <w:rsid w:val="001660B3"/>
    <w:rsid w:val="00166C1A"/>
    <w:rsid w:val="00167579"/>
    <w:rsid w:val="00176320"/>
    <w:rsid w:val="0017650A"/>
    <w:rsid w:val="00176C37"/>
    <w:rsid w:val="0017707E"/>
    <w:rsid w:val="00185CFE"/>
    <w:rsid w:val="001862CF"/>
    <w:rsid w:val="001970C1"/>
    <w:rsid w:val="00197365"/>
    <w:rsid w:val="001A3B77"/>
    <w:rsid w:val="001A6803"/>
    <w:rsid w:val="001A7030"/>
    <w:rsid w:val="001A7386"/>
    <w:rsid w:val="001A772A"/>
    <w:rsid w:val="001B0868"/>
    <w:rsid w:val="001B1DA1"/>
    <w:rsid w:val="001B40E6"/>
    <w:rsid w:val="001B7BC0"/>
    <w:rsid w:val="001C2EBE"/>
    <w:rsid w:val="001C52E3"/>
    <w:rsid w:val="001C546D"/>
    <w:rsid w:val="001C79F3"/>
    <w:rsid w:val="001D0F2B"/>
    <w:rsid w:val="001D157C"/>
    <w:rsid w:val="001D1B33"/>
    <w:rsid w:val="001D278D"/>
    <w:rsid w:val="001D304F"/>
    <w:rsid w:val="001D7FFB"/>
    <w:rsid w:val="001E164C"/>
    <w:rsid w:val="001E39CC"/>
    <w:rsid w:val="001E554F"/>
    <w:rsid w:val="001E63A6"/>
    <w:rsid w:val="001F2634"/>
    <w:rsid w:val="001F661D"/>
    <w:rsid w:val="001F6BCE"/>
    <w:rsid w:val="0021037A"/>
    <w:rsid w:val="00210402"/>
    <w:rsid w:val="0021060B"/>
    <w:rsid w:val="00216D05"/>
    <w:rsid w:val="00221860"/>
    <w:rsid w:val="00222A1C"/>
    <w:rsid w:val="00223E6D"/>
    <w:rsid w:val="002259A3"/>
    <w:rsid w:val="00225EDB"/>
    <w:rsid w:val="0022681E"/>
    <w:rsid w:val="00226BA3"/>
    <w:rsid w:val="00227525"/>
    <w:rsid w:val="002330F2"/>
    <w:rsid w:val="00240420"/>
    <w:rsid w:val="00243BF1"/>
    <w:rsid w:val="00243E7F"/>
    <w:rsid w:val="002476A1"/>
    <w:rsid w:val="002513A2"/>
    <w:rsid w:val="00253D31"/>
    <w:rsid w:val="00254DB8"/>
    <w:rsid w:val="00255D5B"/>
    <w:rsid w:val="00264B60"/>
    <w:rsid w:val="00271C51"/>
    <w:rsid w:val="0027391F"/>
    <w:rsid w:val="00275E64"/>
    <w:rsid w:val="00277E25"/>
    <w:rsid w:val="0028255B"/>
    <w:rsid w:val="00282603"/>
    <w:rsid w:val="00282C57"/>
    <w:rsid w:val="00290A10"/>
    <w:rsid w:val="0029293A"/>
    <w:rsid w:val="0029692F"/>
    <w:rsid w:val="002A1369"/>
    <w:rsid w:val="002A3054"/>
    <w:rsid w:val="002A533E"/>
    <w:rsid w:val="002A7063"/>
    <w:rsid w:val="002B05D7"/>
    <w:rsid w:val="002B0645"/>
    <w:rsid w:val="002B0C50"/>
    <w:rsid w:val="002B0E54"/>
    <w:rsid w:val="002B20B2"/>
    <w:rsid w:val="002B64B1"/>
    <w:rsid w:val="002B6547"/>
    <w:rsid w:val="002B69E5"/>
    <w:rsid w:val="002B6AE9"/>
    <w:rsid w:val="002B7638"/>
    <w:rsid w:val="002B766D"/>
    <w:rsid w:val="002C012F"/>
    <w:rsid w:val="002C04FC"/>
    <w:rsid w:val="002C3EC2"/>
    <w:rsid w:val="002C430C"/>
    <w:rsid w:val="002C60F9"/>
    <w:rsid w:val="002D0C3A"/>
    <w:rsid w:val="002D6BD8"/>
    <w:rsid w:val="002E4A3A"/>
    <w:rsid w:val="002E6C64"/>
    <w:rsid w:val="002E776A"/>
    <w:rsid w:val="002F2199"/>
    <w:rsid w:val="0030171A"/>
    <w:rsid w:val="00302579"/>
    <w:rsid w:val="003029C3"/>
    <w:rsid w:val="00315100"/>
    <w:rsid w:val="00320A0A"/>
    <w:rsid w:val="00321910"/>
    <w:rsid w:val="00322002"/>
    <w:rsid w:val="0032217D"/>
    <w:rsid w:val="003272EA"/>
    <w:rsid w:val="003300F0"/>
    <w:rsid w:val="00330A4E"/>
    <w:rsid w:val="00337075"/>
    <w:rsid w:val="003376D4"/>
    <w:rsid w:val="003377B2"/>
    <w:rsid w:val="003378CD"/>
    <w:rsid w:val="003429A2"/>
    <w:rsid w:val="0034419E"/>
    <w:rsid w:val="00345869"/>
    <w:rsid w:val="00345E96"/>
    <w:rsid w:val="00347359"/>
    <w:rsid w:val="00350477"/>
    <w:rsid w:val="0035309F"/>
    <w:rsid w:val="003534CA"/>
    <w:rsid w:val="00355965"/>
    <w:rsid w:val="00360C80"/>
    <w:rsid w:val="00364AF7"/>
    <w:rsid w:val="003666AC"/>
    <w:rsid w:val="00367285"/>
    <w:rsid w:val="003675F2"/>
    <w:rsid w:val="003700A6"/>
    <w:rsid w:val="003702A9"/>
    <w:rsid w:val="00370511"/>
    <w:rsid w:val="00373367"/>
    <w:rsid w:val="00373FD7"/>
    <w:rsid w:val="0037456E"/>
    <w:rsid w:val="0037774B"/>
    <w:rsid w:val="003804A4"/>
    <w:rsid w:val="00381438"/>
    <w:rsid w:val="00381C0A"/>
    <w:rsid w:val="0038287D"/>
    <w:rsid w:val="003837CC"/>
    <w:rsid w:val="00390842"/>
    <w:rsid w:val="00394EFC"/>
    <w:rsid w:val="00395815"/>
    <w:rsid w:val="00396147"/>
    <w:rsid w:val="003963F9"/>
    <w:rsid w:val="00397572"/>
    <w:rsid w:val="003A28DE"/>
    <w:rsid w:val="003A3CA7"/>
    <w:rsid w:val="003A3F1B"/>
    <w:rsid w:val="003A4A85"/>
    <w:rsid w:val="003A50ED"/>
    <w:rsid w:val="003A646E"/>
    <w:rsid w:val="003A7E8F"/>
    <w:rsid w:val="003A7F69"/>
    <w:rsid w:val="003B1CFD"/>
    <w:rsid w:val="003B386D"/>
    <w:rsid w:val="003B6752"/>
    <w:rsid w:val="003B6EFA"/>
    <w:rsid w:val="003C05C1"/>
    <w:rsid w:val="003C0695"/>
    <w:rsid w:val="003C427B"/>
    <w:rsid w:val="003C4A1A"/>
    <w:rsid w:val="003C5D6B"/>
    <w:rsid w:val="003C626D"/>
    <w:rsid w:val="003C70F3"/>
    <w:rsid w:val="003C72DF"/>
    <w:rsid w:val="003D0A08"/>
    <w:rsid w:val="003D748E"/>
    <w:rsid w:val="003E4A52"/>
    <w:rsid w:val="003E5C6E"/>
    <w:rsid w:val="003E68CE"/>
    <w:rsid w:val="003F26BA"/>
    <w:rsid w:val="003F3227"/>
    <w:rsid w:val="003F6A80"/>
    <w:rsid w:val="003F73B3"/>
    <w:rsid w:val="00400196"/>
    <w:rsid w:val="00404CA1"/>
    <w:rsid w:val="004055BD"/>
    <w:rsid w:val="00406922"/>
    <w:rsid w:val="00407323"/>
    <w:rsid w:val="00413BB2"/>
    <w:rsid w:val="00414D5E"/>
    <w:rsid w:val="00414D7C"/>
    <w:rsid w:val="0041525F"/>
    <w:rsid w:val="00415830"/>
    <w:rsid w:val="0041779D"/>
    <w:rsid w:val="0042039C"/>
    <w:rsid w:val="00421CD6"/>
    <w:rsid w:val="004256A6"/>
    <w:rsid w:val="00426785"/>
    <w:rsid w:val="004273F9"/>
    <w:rsid w:val="004409AF"/>
    <w:rsid w:val="00441AC5"/>
    <w:rsid w:val="00442E03"/>
    <w:rsid w:val="00442F1A"/>
    <w:rsid w:val="00443479"/>
    <w:rsid w:val="00445150"/>
    <w:rsid w:val="004452ED"/>
    <w:rsid w:val="004476D1"/>
    <w:rsid w:val="00455A81"/>
    <w:rsid w:val="0045695F"/>
    <w:rsid w:val="004616EC"/>
    <w:rsid w:val="00467374"/>
    <w:rsid w:val="00467F3B"/>
    <w:rsid w:val="00470E60"/>
    <w:rsid w:val="00476C92"/>
    <w:rsid w:val="00480547"/>
    <w:rsid w:val="00481AB7"/>
    <w:rsid w:val="00483366"/>
    <w:rsid w:val="00483CFD"/>
    <w:rsid w:val="00485004"/>
    <w:rsid w:val="00485489"/>
    <w:rsid w:val="00485E29"/>
    <w:rsid w:val="00486929"/>
    <w:rsid w:val="0049302C"/>
    <w:rsid w:val="00493C51"/>
    <w:rsid w:val="00493DFA"/>
    <w:rsid w:val="00494140"/>
    <w:rsid w:val="00497091"/>
    <w:rsid w:val="004A07A3"/>
    <w:rsid w:val="004A16A0"/>
    <w:rsid w:val="004A32B6"/>
    <w:rsid w:val="004A41BD"/>
    <w:rsid w:val="004A5C1F"/>
    <w:rsid w:val="004B1348"/>
    <w:rsid w:val="004B14A3"/>
    <w:rsid w:val="004B14B6"/>
    <w:rsid w:val="004B459E"/>
    <w:rsid w:val="004B4C63"/>
    <w:rsid w:val="004B5890"/>
    <w:rsid w:val="004C1E52"/>
    <w:rsid w:val="004C2236"/>
    <w:rsid w:val="004C78C3"/>
    <w:rsid w:val="004D0F12"/>
    <w:rsid w:val="004D127D"/>
    <w:rsid w:val="004D1894"/>
    <w:rsid w:val="004D35CD"/>
    <w:rsid w:val="004D6F9D"/>
    <w:rsid w:val="004E0B98"/>
    <w:rsid w:val="004E6178"/>
    <w:rsid w:val="004E6992"/>
    <w:rsid w:val="004E6CF6"/>
    <w:rsid w:val="004F2946"/>
    <w:rsid w:val="0050008B"/>
    <w:rsid w:val="00505C05"/>
    <w:rsid w:val="00505EC6"/>
    <w:rsid w:val="0051675A"/>
    <w:rsid w:val="00516DB0"/>
    <w:rsid w:val="005177AD"/>
    <w:rsid w:val="00524861"/>
    <w:rsid w:val="005307A5"/>
    <w:rsid w:val="00531F49"/>
    <w:rsid w:val="00536A60"/>
    <w:rsid w:val="00542213"/>
    <w:rsid w:val="0054262F"/>
    <w:rsid w:val="00544262"/>
    <w:rsid w:val="00546F19"/>
    <w:rsid w:val="0055119C"/>
    <w:rsid w:val="005518C7"/>
    <w:rsid w:val="005527FA"/>
    <w:rsid w:val="00553BD1"/>
    <w:rsid w:val="00555D4A"/>
    <w:rsid w:val="00556872"/>
    <w:rsid w:val="00562008"/>
    <w:rsid w:val="00563451"/>
    <w:rsid w:val="005644E2"/>
    <w:rsid w:val="005657EB"/>
    <w:rsid w:val="00567089"/>
    <w:rsid w:val="0056764C"/>
    <w:rsid w:val="0057110F"/>
    <w:rsid w:val="0057365E"/>
    <w:rsid w:val="00577A4A"/>
    <w:rsid w:val="0058351F"/>
    <w:rsid w:val="00587D04"/>
    <w:rsid w:val="00587E0F"/>
    <w:rsid w:val="00587F7C"/>
    <w:rsid w:val="00596A58"/>
    <w:rsid w:val="005A08D7"/>
    <w:rsid w:val="005A0B00"/>
    <w:rsid w:val="005A1138"/>
    <w:rsid w:val="005A6CEE"/>
    <w:rsid w:val="005A7238"/>
    <w:rsid w:val="005B0F99"/>
    <w:rsid w:val="005B19AF"/>
    <w:rsid w:val="005B3DF3"/>
    <w:rsid w:val="005B5E22"/>
    <w:rsid w:val="005B7E7D"/>
    <w:rsid w:val="005C180F"/>
    <w:rsid w:val="005C34EF"/>
    <w:rsid w:val="005C592D"/>
    <w:rsid w:val="005C7DE5"/>
    <w:rsid w:val="005D1C00"/>
    <w:rsid w:val="005D1CB7"/>
    <w:rsid w:val="005D2880"/>
    <w:rsid w:val="005D3DA7"/>
    <w:rsid w:val="005D4472"/>
    <w:rsid w:val="005D7CED"/>
    <w:rsid w:val="005D7ECF"/>
    <w:rsid w:val="005E2257"/>
    <w:rsid w:val="005E3D1C"/>
    <w:rsid w:val="005E7500"/>
    <w:rsid w:val="005E75F8"/>
    <w:rsid w:val="005F1167"/>
    <w:rsid w:val="005F1F2C"/>
    <w:rsid w:val="005F2867"/>
    <w:rsid w:val="005F6C4C"/>
    <w:rsid w:val="00600CD6"/>
    <w:rsid w:val="006034B5"/>
    <w:rsid w:val="006043E0"/>
    <w:rsid w:val="00607598"/>
    <w:rsid w:val="00621DFE"/>
    <w:rsid w:val="00623AC5"/>
    <w:rsid w:val="00625440"/>
    <w:rsid w:val="00626189"/>
    <w:rsid w:val="006266F1"/>
    <w:rsid w:val="00626FCD"/>
    <w:rsid w:val="00627FF2"/>
    <w:rsid w:val="006300FD"/>
    <w:rsid w:val="00632C2B"/>
    <w:rsid w:val="00632F7D"/>
    <w:rsid w:val="00635D97"/>
    <w:rsid w:val="00644FE3"/>
    <w:rsid w:val="0064714A"/>
    <w:rsid w:val="006500D8"/>
    <w:rsid w:val="0065010C"/>
    <w:rsid w:val="00650BA0"/>
    <w:rsid w:val="00651BF5"/>
    <w:rsid w:val="00652CA9"/>
    <w:rsid w:val="00657BCE"/>
    <w:rsid w:val="006607C8"/>
    <w:rsid w:val="00662F8F"/>
    <w:rsid w:val="00664217"/>
    <w:rsid w:val="006660C3"/>
    <w:rsid w:val="00666B58"/>
    <w:rsid w:val="00670EF1"/>
    <w:rsid w:val="006712D7"/>
    <w:rsid w:val="00673998"/>
    <w:rsid w:val="00675C48"/>
    <w:rsid w:val="006772D1"/>
    <w:rsid w:val="0068047A"/>
    <w:rsid w:val="00680A72"/>
    <w:rsid w:val="006875A6"/>
    <w:rsid w:val="00690EEE"/>
    <w:rsid w:val="00693CAB"/>
    <w:rsid w:val="0069454A"/>
    <w:rsid w:val="0069520D"/>
    <w:rsid w:val="006953F7"/>
    <w:rsid w:val="006A0CE3"/>
    <w:rsid w:val="006A3C51"/>
    <w:rsid w:val="006A4FF6"/>
    <w:rsid w:val="006A5DFA"/>
    <w:rsid w:val="006B2739"/>
    <w:rsid w:val="006B273F"/>
    <w:rsid w:val="006B4F92"/>
    <w:rsid w:val="006B62CF"/>
    <w:rsid w:val="006B69B7"/>
    <w:rsid w:val="006C3EC5"/>
    <w:rsid w:val="006C51E0"/>
    <w:rsid w:val="006C59E6"/>
    <w:rsid w:val="006C5FD2"/>
    <w:rsid w:val="006D49A1"/>
    <w:rsid w:val="006D7F7B"/>
    <w:rsid w:val="006E0821"/>
    <w:rsid w:val="006E1687"/>
    <w:rsid w:val="006E1A2A"/>
    <w:rsid w:val="006E3223"/>
    <w:rsid w:val="006E3A71"/>
    <w:rsid w:val="006E4F4D"/>
    <w:rsid w:val="006E5F00"/>
    <w:rsid w:val="006E62DD"/>
    <w:rsid w:val="006E7B7A"/>
    <w:rsid w:val="006F08BF"/>
    <w:rsid w:val="006F1766"/>
    <w:rsid w:val="006F486F"/>
    <w:rsid w:val="006F51CD"/>
    <w:rsid w:val="00701B62"/>
    <w:rsid w:val="00701F1B"/>
    <w:rsid w:val="007043C4"/>
    <w:rsid w:val="00706458"/>
    <w:rsid w:val="00710153"/>
    <w:rsid w:val="00711089"/>
    <w:rsid w:val="00712B59"/>
    <w:rsid w:val="00713CF2"/>
    <w:rsid w:val="00733983"/>
    <w:rsid w:val="0074088A"/>
    <w:rsid w:val="00741E9C"/>
    <w:rsid w:val="007463E7"/>
    <w:rsid w:val="00747ABE"/>
    <w:rsid w:val="00747D13"/>
    <w:rsid w:val="007508D1"/>
    <w:rsid w:val="007520F2"/>
    <w:rsid w:val="0075230A"/>
    <w:rsid w:val="0075277F"/>
    <w:rsid w:val="00753F3F"/>
    <w:rsid w:val="00755FBC"/>
    <w:rsid w:val="00756ED2"/>
    <w:rsid w:val="0076123C"/>
    <w:rsid w:val="007628E9"/>
    <w:rsid w:val="007641B7"/>
    <w:rsid w:val="0076536B"/>
    <w:rsid w:val="007656E0"/>
    <w:rsid w:val="007675E5"/>
    <w:rsid w:val="00767D84"/>
    <w:rsid w:val="00771AD6"/>
    <w:rsid w:val="00772A4A"/>
    <w:rsid w:val="00773E59"/>
    <w:rsid w:val="00777728"/>
    <w:rsid w:val="00777E3A"/>
    <w:rsid w:val="007818AE"/>
    <w:rsid w:val="00782750"/>
    <w:rsid w:val="00782773"/>
    <w:rsid w:val="007832FE"/>
    <w:rsid w:val="007852EE"/>
    <w:rsid w:val="00791C5F"/>
    <w:rsid w:val="0079414B"/>
    <w:rsid w:val="007952D7"/>
    <w:rsid w:val="007960ED"/>
    <w:rsid w:val="0079696F"/>
    <w:rsid w:val="007A1146"/>
    <w:rsid w:val="007B06B7"/>
    <w:rsid w:val="007B4CBE"/>
    <w:rsid w:val="007B4F0A"/>
    <w:rsid w:val="007C3284"/>
    <w:rsid w:val="007C3B18"/>
    <w:rsid w:val="007C3BCF"/>
    <w:rsid w:val="007C787E"/>
    <w:rsid w:val="007D077B"/>
    <w:rsid w:val="007D2089"/>
    <w:rsid w:val="007D23C2"/>
    <w:rsid w:val="007D2858"/>
    <w:rsid w:val="007D7B33"/>
    <w:rsid w:val="007E6875"/>
    <w:rsid w:val="007E6F28"/>
    <w:rsid w:val="007F442B"/>
    <w:rsid w:val="007F475E"/>
    <w:rsid w:val="007F7DA7"/>
    <w:rsid w:val="0080023C"/>
    <w:rsid w:val="00800C44"/>
    <w:rsid w:val="00802A5E"/>
    <w:rsid w:val="00805244"/>
    <w:rsid w:val="00805442"/>
    <w:rsid w:val="00807880"/>
    <w:rsid w:val="00811975"/>
    <w:rsid w:val="008120A6"/>
    <w:rsid w:val="00812E89"/>
    <w:rsid w:val="00815E23"/>
    <w:rsid w:val="0082408A"/>
    <w:rsid w:val="00825515"/>
    <w:rsid w:val="0082683A"/>
    <w:rsid w:val="0083083B"/>
    <w:rsid w:val="0083119F"/>
    <w:rsid w:val="0083221D"/>
    <w:rsid w:val="0083694E"/>
    <w:rsid w:val="00836EE3"/>
    <w:rsid w:val="00840F9B"/>
    <w:rsid w:val="00841209"/>
    <w:rsid w:val="00843A65"/>
    <w:rsid w:val="008454D0"/>
    <w:rsid w:val="008458B4"/>
    <w:rsid w:val="00845BE7"/>
    <w:rsid w:val="0085204E"/>
    <w:rsid w:val="00852C2C"/>
    <w:rsid w:val="008567A8"/>
    <w:rsid w:val="00856F4E"/>
    <w:rsid w:val="008631D4"/>
    <w:rsid w:val="00864D20"/>
    <w:rsid w:val="0086644F"/>
    <w:rsid w:val="008676A9"/>
    <w:rsid w:val="00874F28"/>
    <w:rsid w:val="0088320C"/>
    <w:rsid w:val="0088423F"/>
    <w:rsid w:val="00884A56"/>
    <w:rsid w:val="00887CBD"/>
    <w:rsid w:val="008906D8"/>
    <w:rsid w:val="008936D6"/>
    <w:rsid w:val="00897DDE"/>
    <w:rsid w:val="008A08DB"/>
    <w:rsid w:val="008A1D84"/>
    <w:rsid w:val="008A3771"/>
    <w:rsid w:val="008A48B9"/>
    <w:rsid w:val="008B3E15"/>
    <w:rsid w:val="008B4BB8"/>
    <w:rsid w:val="008B6086"/>
    <w:rsid w:val="008B70D9"/>
    <w:rsid w:val="008C07CE"/>
    <w:rsid w:val="008C0C63"/>
    <w:rsid w:val="008C0F52"/>
    <w:rsid w:val="008C3E7F"/>
    <w:rsid w:val="008D0C41"/>
    <w:rsid w:val="008D42CF"/>
    <w:rsid w:val="008E2C10"/>
    <w:rsid w:val="008E3416"/>
    <w:rsid w:val="008E4599"/>
    <w:rsid w:val="008E6E9E"/>
    <w:rsid w:val="008F2FAF"/>
    <w:rsid w:val="008F3636"/>
    <w:rsid w:val="008F3ED4"/>
    <w:rsid w:val="008F5D5E"/>
    <w:rsid w:val="008F6A49"/>
    <w:rsid w:val="008F7145"/>
    <w:rsid w:val="009012CB"/>
    <w:rsid w:val="009078A4"/>
    <w:rsid w:val="0091288A"/>
    <w:rsid w:val="009209F1"/>
    <w:rsid w:val="00922DC2"/>
    <w:rsid w:val="00923B54"/>
    <w:rsid w:val="00927829"/>
    <w:rsid w:val="0093539B"/>
    <w:rsid w:val="009353DA"/>
    <w:rsid w:val="00935E9A"/>
    <w:rsid w:val="0094194F"/>
    <w:rsid w:val="00942754"/>
    <w:rsid w:val="00944122"/>
    <w:rsid w:val="00947C40"/>
    <w:rsid w:val="009507CD"/>
    <w:rsid w:val="00951E6F"/>
    <w:rsid w:val="009546DF"/>
    <w:rsid w:val="009568A4"/>
    <w:rsid w:val="00962C62"/>
    <w:rsid w:val="0096311B"/>
    <w:rsid w:val="009779D2"/>
    <w:rsid w:val="0098018E"/>
    <w:rsid w:val="00990E4D"/>
    <w:rsid w:val="00992E3B"/>
    <w:rsid w:val="009934B3"/>
    <w:rsid w:val="00993CEA"/>
    <w:rsid w:val="009944FC"/>
    <w:rsid w:val="00995582"/>
    <w:rsid w:val="009A250D"/>
    <w:rsid w:val="009A3101"/>
    <w:rsid w:val="009A5F05"/>
    <w:rsid w:val="009B02FF"/>
    <w:rsid w:val="009B09FE"/>
    <w:rsid w:val="009B170D"/>
    <w:rsid w:val="009B3E03"/>
    <w:rsid w:val="009B47BE"/>
    <w:rsid w:val="009B52B6"/>
    <w:rsid w:val="009C0BCA"/>
    <w:rsid w:val="009C27EB"/>
    <w:rsid w:val="009C7939"/>
    <w:rsid w:val="009D34DA"/>
    <w:rsid w:val="009D45D2"/>
    <w:rsid w:val="009D4C6F"/>
    <w:rsid w:val="009D5475"/>
    <w:rsid w:val="009D57F6"/>
    <w:rsid w:val="009D72F5"/>
    <w:rsid w:val="009E2E93"/>
    <w:rsid w:val="009E5767"/>
    <w:rsid w:val="009E7E62"/>
    <w:rsid w:val="009F1222"/>
    <w:rsid w:val="009F1A1C"/>
    <w:rsid w:val="009F3224"/>
    <w:rsid w:val="009F4EC8"/>
    <w:rsid w:val="00A00DF3"/>
    <w:rsid w:val="00A0367E"/>
    <w:rsid w:val="00A057B0"/>
    <w:rsid w:val="00A072EF"/>
    <w:rsid w:val="00A07AD6"/>
    <w:rsid w:val="00A10CBF"/>
    <w:rsid w:val="00A11129"/>
    <w:rsid w:val="00A11B67"/>
    <w:rsid w:val="00A130C5"/>
    <w:rsid w:val="00A17B70"/>
    <w:rsid w:val="00A23685"/>
    <w:rsid w:val="00A24D73"/>
    <w:rsid w:val="00A26712"/>
    <w:rsid w:val="00A27A1B"/>
    <w:rsid w:val="00A31BF9"/>
    <w:rsid w:val="00A33D02"/>
    <w:rsid w:val="00A349C7"/>
    <w:rsid w:val="00A349E4"/>
    <w:rsid w:val="00A354AD"/>
    <w:rsid w:val="00A36F44"/>
    <w:rsid w:val="00A37167"/>
    <w:rsid w:val="00A37E14"/>
    <w:rsid w:val="00A40269"/>
    <w:rsid w:val="00A404B6"/>
    <w:rsid w:val="00A410FE"/>
    <w:rsid w:val="00A42560"/>
    <w:rsid w:val="00A43287"/>
    <w:rsid w:val="00A44520"/>
    <w:rsid w:val="00A50448"/>
    <w:rsid w:val="00A513D0"/>
    <w:rsid w:val="00A52E00"/>
    <w:rsid w:val="00A542CE"/>
    <w:rsid w:val="00A563D8"/>
    <w:rsid w:val="00A57509"/>
    <w:rsid w:val="00A6663B"/>
    <w:rsid w:val="00A71AB6"/>
    <w:rsid w:val="00A721CB"/>
    <w:rsid w:val="00A76A97"/>
    <w:rsid w:val="00A811B9"/>
    <w:rsid w:val="00A81A87"/>
    <w:rsid w:val="00A904EB"/>
    <w:rsid w:val="00A911F1"/>
    <w:rsid w:val="00A913D1"/>
    <w:rsid w:val="00A93345"/>
    <w:rsid w:val="00AA02BE"/>
    <w:rsid w:val="00AA0A89"/>
    <w:rsid w:val="00AA1911"/>
    <w:rsid w:val="00AA1920"/>
    <w:rsid w:val="00AA2EB0"/>
    <w:rsid w:val="00AA4A19"/>
    <w:rsid w:val="00AA4DD8"/>
    <w:rsid w:val="00AB366E"/>
    <w:rsid w:val="00AB36C1"/>
    <w:rsid w:val="00AB4D1A"/>
    <w:rsid w:val="00AB4E3B"/>
    <w:rsid w:val="00AB6463"/>
    <w:rsid w:val="00AB64A1"/>
    <w:rsid w:val="00AB6CF2"/>
    <w:rsid w:val="00AC1FA6"/>
    <w:rsid w:val="00AC29FE"/>
    <w:rsid w:val="00AC69CE"/>
    <w:rsid w:val="00AC6BF6"/>
    <w:rsid w:val="00AC76AD"/>
    <w:rsid w:val="00AD2747"/>
    <w:rsid w:val="00AD2D1B"/>
    <w:rsid w:val="00AE09CC"/>
    <w:rsid w:val="00AE16D6"/>
    <w:rsid w:val="00AE2F96"/>
    <w:rsid w:val="00AE377C"/>
    <w:rsid w:val="00AF1A82"/>
    <w:rsid w:val="00AF7EB6"/>
    <w:rsid w:val="00B02A20"/>
    <w:rsid w:val="00B11A17"/>
    <w:rsid w:val="00B12607"/>
    <w:rsid w:val="00B13E9A"/>
    <w:rsid w:val="00B31B31"/>
    <w:rsid w:val="00B33DAA"/>
    <w:rsid w:val="00B344B2"/>
    <w:rsid w:val="00B40E26"/>
    <w:rsid w:val="00B42858"/>
    <w:rsid w:val="00B42D9B"/>
    <w:rsid w:val="00B459CA"/>
    <w:rsid w:val="00B45F0F"/>
    <w:rsid w:val="00B50173"/>
    <w:rsid w:val="00B512AF"/>
    <w:rsid w:val="00B54F08"/>
    <w:rsid w:val="00B56404"/>
    <w:rsid w:val="00B60A77"/>
    <w:rsid w:val="00B6237E"/>
    <w:rsid w:val="00B644EB"/>
    <w:rsid w:val="00B65B46"/>
    <w:rsid w:val="00B6751E"/>
    <w:rsid w:val="00B67E5E"/>
    <w:rsid w:val="00B67F08"/>
    <w:rsid w:val="00B73A42"/>
    <w:rsid w:val="00B758BB"/>
    <w:rsid w:val="00B75DA6"/>
    <w:rsid w:val="00B81ADA"/>
    <w:rsid w:val="00B842BE"/>
    <w:rsid w:val="00B846CB"/>
    <w:rsid w:val="00B914CE"/>
    <w:rsid w:val="00B916DA"/>
    <w:rsid w:val="00B91AED"/>
    <w:rsid w:val="00B95010"/>
    <w:rsid w:val="00B95639"/>
    <w:rsid w:val="00BA2402"/>
    <w:rsid w:val="00BB0CE6"/>
    <w:rsid w:val="00BB3849"/>
    <w:rsid w:val="00BB3AC3"/>
    <w:rsid w:val="00BB7F2A"/>
    <w:rsid w:val="00BC0176"/>
    <w:rsid w:val="00BC063B"/>
    <w:rsid w:val="00BC46E5"/>
    <w:rsid w:val="00BC6F18"/>
    <w:rsid w:val="00BC79B3"/>
    <w:rsid w:val="00BD1F97"/>
    <w:rsid w:val="00BD37C3"/>
    <w:rsid w:val="00BD5DF9"/>
    <w:rsid w:val="00BE25A9"/>
    <w:rsid w:val="00BE3347"/>
    <w:rsid w:val="00BE397C"/>
    <w:rsid w:val="00BE45F2"/>
    <w:rsid w:val="00BF09F4"/>
    <w:rsid w:val="00BF1B52"/>
    <w:rsid w:val="00BF2346"/>
    <w:rsid w:val="00BF396C"/>
    <w:rsid w:val="00BF55F7"/>
    <w:rsid w:val="00C01F2A"/>
    <w:rsid w:val="00C024E3"/>
    <w:rsid w:val="00C03D70"/>
    <w:rsid w:val="00C06104"/>
    <w:rsid w:val="00C10A6E"/>
    <w:rsid w:val="00C1225B"/>
    <w:rsid w:val="00C122EC"/>
    <w:rsid w:val="00C1270A"/>
    <w:rsid w:val="00C17BE5"/>
    <w:rsid w:val="00C22610"/>
    <w:rsid w:val="00C22CCF"/>
    <w:rsid w:val="00C25A65"/>
    <w:rsid w:val="00C2636D"/>
    <w:rsid w:val="00C301CF"/>
    <w:rsid w:val="00C303FB"/>
    <w:rsid w:val="00C3154B"/>
    <w:rsid w:val="00C342CE"/>
    <w:rsid w:val="00C3459B"/>
    <w:rsid w:val="00C34822"/>
    <w:rsid w:val="00C36A3F"/>
    <w:rsid w:val="00C4055C"/>
    <w:rsid w:val="00C429A0"/>
    <w:rsid w:val="00C44A74"/>
    <w:rsid w:val="00C46661"/>
    <w:rsid w:val="00C51405"/>
    <w:rsid w:val="00C535DE"/>
    <w:rsid w:val="00C57A09"/>
    <w:rsid w:val="00C60196"/>
    <w:rsid w:val="00C60B88"/>
    <w:rsid w:val="00C6162F"/>
    <w:rsid w:val="00C61F07"/>
    <w:rsid w:val="00C63304"/>
    <w:rsid w:val="00C64187"/>
    <w:rsid w:val="00C651FF"/>
    <w:rsid w:val="00C653AB"/>
    <w:rsid w:val="00C71FFA"/>
    <w:rsid w:val="00C739EF"/>
    <w:rsid w:val="00C75D11"/>
    <w:rsid w:val="00C77FA9"/>
    <w:rsid w:val="00C819F1"/>
    <w:rsid w:val="00C821B3"/>
    <w:rsid w:val="00C879A3"/>
    <w:rsid w:val="00C9454B"/>
    <w:rsid w:val="00C9590E"/>
    <w:rsid w:val="00C9652B"/>
    <w:rsid w:val="00C96937"/>
    <w:rsid w:val="00CA210B"/>
    <w:rsid w:val="00CA2B6F"/>
    <w:rsid w:val="00CA39F2"/>
    <w:rsid w:val="00CB0685"/>
    <w:rsid w:val="00CB1556"/>
    <w:rsid w:val="00CB1F39"/>
    <w:rsid w:val="00CB26DE"/>
    <w:rsid w:val="00CB4C79"/>
    <w:rsid w:val="00CB7983"/>
    <w:rsid w:val="00CC3BC5"/>
    <w:rsid w:val="00CC3F55"/>
    <w:rsid w:val="00CD068E"/>
    <w:rsid w:val="00CD6E0A"/>
    <w:rsid w:val="00CE1A0A"/>
    <w:rsid w:val="00CE2185"/>
    <w:rsid w:val="00CE2F9B"/>
    <w:rsid w:val="00CE42F2"/>
    <w:rsid w:val="00CF00A8"/>
    <w:rsid w:val="00CF28AD"/>
    <w:rsid w:val="00CF2B93"/>
    <w:rsid w:val="00CF2C2C"/>
    <w:rsid w:val="00CF2F29"/>
    <w:rsid w:val="00CF4C49"/>
    <w:rsid w:val="00CF6A72"/>
    <w:rsid w:val="00CF6DE3"/>
    <w:rsid w:val="00CF6EB8"/>
    <w:rsid w:val="00D01144"/>
    <w:rsid w:val="00D02FCD"/>
    <w:rsid w:val="00D03533"/>
    <w:rsid w:val="00D0628B"/>
    <w:rsid w:val="00D111D8"/>
    <w:rsid w:val="00D15B5E"/>
    <w:rsid w:val="00D15BEF"/>
    <w:rsid w:val="00D16ED5"/>
    <w:rsid w:val="00D25079"/>
    <w:rsid w:val="00D27206"/>
    <w:rsid w:val="00D275CD"/>
    <w:rsid w:val="00D306B9"/>
    <w:rsid w:val="00D31C9D"/>
    <w:rsid w:val="00D32FDD"/>
    <w:rsid w:val="00D34151"/>
    <w:rsid w:val="00D3624B"/>
    <w:rsid w:val="00D370FB"/>
    <w:rsid w:val="00D373EF"/>
    <w:rsid w:val="00D37D94"/>
    <w:rsid w:val="00D406DB"/>
    <w:rsid w:val="00D41C38"/>
    <w:rsid w:val="00D42E78"/>
    <w:rsid w:val="00D4339E"/>
    <w:rsid w:val="00D43454"/>
    <w:rsid w:val="00D43E49"/>
    <w:rsid w:val="00D46312"/>
    <w:rsid w:val="00D4693E"/>
    <w:rsid w:val="00D476D9"/>
    <w:rsid w:val="00D501B3"/>
    <w:rsid w:val="00D50BA1"/>
    <w:rsid w:val="00D515F3"/>
    <w:rsid w:val="00D53161"/>
    <w:rsid w:val="00D6267A"/>
    <w:rsid w:val="00D626D5"/>
    <w:rsid w:val="00D62B04"/>
    <w:rsid w:val="00D631C8"/>
    <w:rsid w:val="00D642FE"/>
    <w:rsid w:val="00D64C6D"/>
    <w:rsid w:val="00D74E49"/>
    <w:rsid w:val="00D7767D"/>
    <w:rsid w:val="00D80D0B"/>
    <w:rsid w:val="00D8782D"/>
    <w:rsid w:val="00D90962"/>
    <w:rsid w:val="00D9416B"/>
    <w:rsid w:val="00D95B1F"/>
    <w:rsid w:val="00D96DE8"/>
    <w:rsid w:val="00D9712E"/>
    <w:rsid w:val="00D973E1"/>
    <w:rsid w:val="00DA149E"/>
    <w:rsid w:val="00DA1648"/>
    <w:rsid w:val="00DA1C5A"/>
    <w:rsid w:val="00DA2791"/>
    <w:rsid w:val="00DA3049"/>
    <w:rsid w:val="00DA4423"/>
    <w:rsid w:val="00DB15A8"/>
    <w:rsid w:val="00DB2578"/>
    <w:rsid w:val="00DC2C44"/>
    <w:rsid w:val="00DC3B91"/>
    <w:rsid w:val="00DC422A"/>
    <w:rsid w:val="00DD3F0E"/>
    <w:rsid w:val="00DE2CA1"/>
    <w:rsid w:val="00DE614D"/>
    <w:rsid w:val="00DE78B1"/>
    <w:rsid w:val="00DE7DDC"/>
    <w:rsid w:val="00DF0251"/>
    <w:rsid w:val="00DF322C"/>
    <w:rsid w:val="00DF4A8A"/>
    <w:rsid w:val="00DF6178"/>
    <w:rsid w:val="00E05952"/>
    <w:rsid w:val="00E077FB"/>
    <w:rsid w:val="00E10788"/>
    <w:rsid w:val="00E1328D"/>
    <w:rsid w:val="00E169E8"/>
    <w:rsid w:val="00E17AD5"/>
    <w:rsid w:val="00E21911"/>
    <w:rsid w:val="00E2432B"/>
    <w:rsid w:val="00E25681"/>
    <w:rsid w:val="00E26879"/>
    <w:rsid w:val="00E26F27"/>
    <w:rsid w:val="00E2779E"/>
    <w:rsid w:val="00E321A3"/>
    <w:rsid w:val="00E357CB"/>
    <w:rsid w:val="00E3648F"/>
    <w:rsid w:val="00E370C7"/>
    <w:rsid w:val="00E37CF1"/>
    <w:rsid w:val="00E40C13"/>
    <w:rsid w:val="00E41641"/>
    <w:rsid w:val="00E4345E"/>
    <w:rsid w:val="00E46024"/>
    <w:rsid w:val="00E50194"/>
    <w:rsid w:val="00E514D5"/>
    <w:rsid w:val="00E51667"/>
    <w:rsid w:val="00E6281B"/>
    <w:rsid w:val="00E63519"/>
    <w:rsid w:val="00E66BC8"/>
    <w:rsid w:val="00E66BF2"/>
    <w:rsid w:val="00E67202"/>
    <w:rsid w:val="00E67DD1"/>
    <w:rsid w:val="00E73BF0"/>
    <w:rsid w:val="00E7751E"/>
    <w:rsid w:val="00E80224"/>
    <w:rsid w:val="00E84481"/>
    <w:rsid w:val="00E85C6A"/>
    <w:rsid w:val="00E85FF8"/>
    <w:rsid w:val="00E86085"/>
    <w:rsid w:val="00E90B4D"/>
    <w:rsid w:val="00E91A5E"/>
    <w:rsid w:val="00E93A4B"/>
    <w:rsid w:val="00E93F1D"/>
    <w:rsid w:val="00EA5511"/>
    <w:rsid w:val="00EA5D43"/>
    <w:rsid w:val="00EA5DB8"/>
    <w:rsid w:val="00EA6024"/>
    <w:rsid w:val="00EA7C18"/>
    <w:rsid w:val="00EB20BA"/>
    <w:rsid w:val="00EB5C48"/>
    <w:rsid w:val="00EB68CB"/>
    <w:rsid w:val="00EB7306"/>
    <w:rsid w:val="00EB73F2"/>
    <w:rsid w:val="00EC1EDF"/>
    <w:rsid w:val="00EC5B54"/>
    <w:rsid w:val="00EC673C"/>
    <w:rsid w:val="00EC72CA"/>
    <w:rsid w:val="00ED0E35"/>
    <w:rsid w:val="00ED59D2"/>
    <w:rsid w:val="00ED5FBD"/>
    <w:rsid w:val="00ED655F"/>
    <w:rsid w:val="00ED7715"/>
    <w:rsid w:val="00ED7F72"/>
    <w:rsid w:val="00EE0FD0"/>
    <w:rsid w:val="00EE13A7"/>
    <w:rsid w:val="00EE17A7"/>
    <w:rsid w:val="00EE59CA"/>
    <w:rsid w:val="00EE5BF3"/>
    <w:rsid w:val="00EE612A"/>
    <w:rsid w:val="00EF1B05"/>
    <w:rsid w:val="00EF6108"/>
    <w:rsid w:val="00EF7451"/>
    <w:rsid w:val="00EF7A9F"/>
    <w:rsid w:val="00EF7D83"/>
    <w:rsid w:val="00EF7E0F"/>
    <w:rsid w:val="00F01B63"/>
    <w:rsid w:val="00F01CB8"/>
    <w:rsid w:val="00F05CAC"/>
    <w:rsid w:val="00F10016"/>
    <w:rsid w:val="00F11B21"/>
    <w:rsid w:val="00F12A7B"/>
    <w:rsid w:val="00F154BD"/>
    <w:rsid w:val="00F22F20"/>
    <w:rsid w:val="00F23D9C"/>
    <w:rsid w:val="00F23F82"/>
    <w:rsid w:val="00F24515"/>
    <w:rsid w:val="00F320EF"/>
    <w:rsid w:val="00F323C7"/>
    <w:rsid w:val="00F33982"/>
    <w:rsid w:val="00F407F6"/>
    <w:rsid w:val="00F433E7"/>
    <w:rsid w:val="00F45E96"/>
    <w:rsid w:val="00F50650"/>
    <w:rsid w:val="00F50FFC"/>
    <w:rsid w:val="00F5422E"/>
    <w:rsid w:val="00F5597D"/>
    <w:rsid w:val="00F7283B"/>
    <w:rsid w:val="00F73432"/>
    <w:rsid w:val="00F769E0"/>
    <w:rsid w:val="00F76B60"/>
    <w:rsid w:val="00F80446"/>
    <w:rsid w:val="00F86E67"/>
    <w:rsid w:val="00F871BE"/>
    <w:rsid w:val="00F9023E"/>
    <w:rsid w:val="00F918A0"/>
    <w:rsid w:val="00F9431D"/>
    <w:rsid w:val="00F944EB"/>
    <w:rsid w:val="00F95157"/>
    <w:rsid w:val="00FA2374"/>
    <w:rsid w:val="00FA4736"/>
    <w:rsid w:val="00FA481A"/>
    <w:rsid w:val="00FA55D8"/>
    <w:rsid w:val="00FA5B1E"/>
    <w:rsid w:val="00FA5CCD"/>
    <w:rsid w:val="00FA6C00"/>
    <w:rsid w:val="00FB1328"/>
    <w:rsid w:val="00FB153F"/>
    <w:rsid w:val="00FB2349"/>
    <w:rsid w:val="00FB4397"/>
    <w:rsid w:val="00FB5EAB"/>
    <w:rsid w:val="00FB772F"/>
    <w:rsid w:val="00FC1290"/>
    <w:rsid w:val="00FC1B2C"/>
    <w:rsid w:val="00FC252D"/>
    <w:rsid w:val="00FC2A2B"/>
    <w:rsid w:val="00FC41C2"/>
    <w:rsid w:val="00FC48AA"/>
    <w:rsid w:val="00FC4A1C"/>
    <w:rsid w:val="00FC73A6"/>
    <w:rsid w:val="00FD3C9B"/>
    <w:rsid w:val="00FD536C"/>
    <w:rsid w:val="00FE1D96"/>
    <w:rsid w:val="00FE2794"/>
    <w:rsid w:val="00FE405C"/>
    <w:rsid w:val="00FE5F21"/>
    <w:rsid w:val="00FF07F7"/>
    <w:rsid w:val="00FF2F4A"/>
    <w:rsid w:val="00FF430D"/>
    <w:rsid w:val="00FF4EEA"/>
    <w:rsid w:val="00FF5375"/>
    <w:rsid w:val="00FF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D4E2376"/>
  <w15:docId w15:val="{D908042D-3D47-4419-9765-48A6DA70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02FCD"/>
    <w:rPr>
      <w:sz w:val="20"/>
      <w:szCs w:val="20"/>
    </w:rPr>
  </w:style>
  <w:style w:type="character" w:styleId="FootnoteReference">
    <w:name w:val="footnote reference"/>
    <w:semiHidden/>
    <w:rsid w:val="00D02FCD"/>
    <w:rPr>
      <w:vertAlign w:val="superscript"/>
    </w:rPr>
  </w:style>
  <w:style w:type="paragraph" w:styleId="Header">
    <w:name w:val="header"/>
    <w:basedOn w:val="Normal"/>
    <w:rsid w:val="006D7F7B"/>
    <w:pPr>
      <w:tabs>
        <w:tab w:val="center" w:pos="4153"/>
        <w:tab w:val="right" w:pos="8306"/>
      </w:tabs>
    </w:pPr>
  </w:style>
  <w:style w:type="paragraph" w:styleId="Footer">
    <w:name w:val="footer"/>
    <w:basedOn w:val="Normal"/>
    <w:link w:val="FooterChar"/>
    <w:uiPriority w:val="99"/>
    <w:rsid w:val="006D7F7B"/>
    <w:pPr>
      <w:tabs>
        <w:tab w:val="center" w:pos="4153"/>
        <w:tab w:val="right" w:pos="8306"/>
      </w:tabs>
    </w:pPr>
  </w:style>
  <w:style w:type="character" w:styleId="Hyperlink">
    <w:name w:val="Hyperlink"/>
    <w:rsid w:val="0004542E"/>
    <w:rPr>
      <w:color w:val="0000FF"/>
      <w:u w:val="single"/>
    </w:rPr>
  </w:style>
  <w:style w:type="character" w:styleId="FollowedHyperlink">
    <w:name w:val="FollowedHyperlink"/>
    <w:rsid w:val="00992E3B"/>
    <w:rPr>
      <w:color w:val="800080"/>
      <w:u w:val="single"/>
    </w:rPr>
  </w:style>
  <w:style w:type="paragraph" w:styleId="DocumentMap">
    <w:name w:val="Document Map"/>
    <w:basedOn w:val="Normal"/>
    <w:semiHidden/>
    <w:rsid w:val="0050008B"/>
    <w:pPr>
      <w:shd w:val="clear" w:color="auto" w:fill="000080"/>
    </w:pPr>
    <w:rPr>
      <w:rFonts w:ascii="Tahoma" w:hAnsi="Tahoma" w:cs="Tahoma"/>
      <w:sz w:val="20"/>
      <w:szCs w:val="20"/>
    </w:rPr>
  </w:style>
  <w:style w:type="paragraph" w:styleId="NormalWeb">
    <w:name w:val="Normal (Web)"/>
    <w:basedOn w:val="Normal"/>
    <w:uiPriority w:val="99"/>
    <w:unhideWhenUsed/>
    <w:rsid w:val="006E3A71"/>
    <w:pPr>
      <w:spacing w:before="100" w:beforeAutospacing="1" w:after="100" w:afterAutospacing="1"/>
    </w:pPr>
  </w:style>
  <w:style w:type="character" w:customStyle="1" w:styleId="FooterChar">
    <w:name w:val="Footer Char"/>
    <w:link w:val="Footer"/>
    <w:uiPriority w:val="99"/>
    <w:rsid w:val="00D306B9"/>
    <w:rPr>
      <w:sz w:val="24"/>
      <w:szCs w:val="24"/>
    </w:rPr>
  </w:style>
  <w:style w:type="paragraph" w:customStyle="1" w:styleId="Martin5">
    <w:name w:val="Martin 5"/>
    <w:basedOn w:val="Normal"/>
    <w:rsid w:val="009D57F6"/>
    <w:pPr>
      <w:tabs>
        <w:tab w:val="left" w:pos="432"/>
      </w:tabs>
      <w:spacing w:line="260" w:lineRule="exact"/>
    </w:pPr>
    <w:rPr>
      <w:rFonts w:ascii="Arial" w:hAnsi="Arial" w:cs="Tahoma"/>
      <w:w w:val="110"/>
      <w:sz w:val="18"/>
      <w:lang w:eastAsia="en-US"/>
    </w:rPr>
  </w:style>
  <w:style w:type="paragraph" w:styleId="BalloonText">
    <w:name w:val="Balloon Text"/>
    <w:basedOn w:val="Normal"/>
    <w:link w:val="BalloonTextChar"/>
    <w:rsid w:val="003B6752"/>
    <w:rPr>
      <w:rFonts w:ascii="Tahoma" w:hAnsi="Tahoma" w:cs="Tahoma"/>
      <w:sz w:val="16"/>
      <w:szCs w:val="16"/>
    </w:rPr>
  </w:style>
  <w:style w:type="character" w:customStyle="1" w:styleId="BalloonTextChar">
    <w:name w:val="Balloon Text Char"/>
    <w:link w:val="BalloonText"/>
    <w:rsid w:val="003B6752"/>
    <w:rPr>
      <w:rFonts w:ascii="Tahoma" w:hAnsi="Tahoma" w:cs="Tahoma"/>
      <w:sz w:val="16"/>
      <w:szCs w:val="16"/>
    </w:rPr>
  </w:style>
  <w:style w:type="character" w:styleId="CommentReference">
    <w:name w:val="annotation reference"/>
    <w:rsid w:val="001A6803"/>
    <w:rPr>
      <w:sz w:val="16"/>
      <w:szCs w:val="16"/>
    </w:rPr>
  </w:style>
  <w:style w:type="paragraph" w:styleId="CommentText">
    <w:name w:val="annotation text"/>
    <w:basedOn w:val="Normal"/>
    <w:link w:val="CommentTextChar"/>
    <w:rsid w:val="001A6803"/>
    <w:rPr>
      <w:sz w:val="20"/>
      <w:szCs w:val="20"/>
    </w:rPr>
  </w:style>
  <w:style w:type="character" w:customStyle="1" w:styleId="CommentTextChar">
    <w:name w:val="Comment Text Char"/>
    <w:basedOn w:val="DefaultParagraphFont"/>
    <w:link w:val="CommentText"/>
    <w:rsid w:val="001A6803"/>
  </w:style>
  <w:style w:type="paragraph" w:styleId="CommentSubject">
    <w:name w:val="annotation subject"/>
    <w:basedOn w:val="CommentText"/>
    <w:next w:val="CommentText"/>
    <w:link w:val="CommentSubjectChar"/>
    <w:rsid w:val="001A6803"/>
    <w:rPr>
      <w:b/>
      <w:bCs/>
    </w:rPr>
  </w:style>
  <w:style w:type="character" w:customStyle="1" w:styleId="CommentSubjectChar">
    <w:name w:val="Comment Subject Char"/>
    <w:link w:val="CommentSubject"/>
    <w:rsid w:val="001A6803"/>
    <w:rPr>
      <w:b/>
      <w:bCs/>
    </w:rPr>
  </w:style>
  <w:style w:type="paragraph" w:styleId="ListParagraph">
    <w:name w:val="List Paragraph"/>
    <w:basedOn w:val="Normal"/>
    <w:uiPriority w:val="34"/>
    <w:qFormat/>
    <w:rsid w:val="00711089"/>
    <w:pPr>
      <w:ind w:left="720"/>
      <w:contextualSpacing/>
    </w:pPr>
  </w:style>
  <w:style w:type="paragraph" w:customStyle="1" w:styleId="Default">
    <w:name w:val="Default"/>
    <w:rsid w:val="0011563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65B46"/>
    <w:rPr>
      <w:color w:val="605E5C"/>
      <w:shd w:val="clear" w:color="auto" w:fill="E1DFDD"/>
    </w:rPr>
  </w:style>
  <w:style w:type="character" w:customStyle="1" w:styleId="UnresolvedMention">
    <w:name w:val="Unresolved Mention"/>
    <w:basedOn w:val="DefaultParagraphFont"/>
    <w:uiPriority w:val="99"/>
    <w:semiHidden/>
    <w:unhideWhenUsed/>
    <w:rsid w:val="00783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8101">
      <w:bodyDiv w:val="1"/>
      <w:marLeft w:val="0"/>
      <w:marRight w:val="0"/>
      <w:marTop w:val="0"/>
      <w:marBottom w:val="0"/>
      <w:divBdr>
        <w:top w:val="none" w:sz="0" w:space="0" w:color="auto"/>
        <w:left w:val="none" w:sz="0" w:space="0" w:color="auto"/>
        <w:bottom w:val="none" w:sz="0" w:space="0" w:color="auto"/>
        <w:right w:val="none" w:sz="0" w:space="0" w:color="auto"/>
      </w:divBdr>
    </w:div>
    <w:div w:id="45033911">
      <w:bodyDiv w:val="1"/>
      <w:marLeft w:val="0"/>
      <w:marRight w:val="0"/>
      <w:marTop w:val="0"/>
      <w:marBottom w:val="0"/>
      <w:divBdr>
        <w:top w:val="none" w:sz="0" w:space="0" w:color="auto"/>
        <w:left w:val="none" w:sz="0" w:space="0" w:color="auto"/>
        <w:bottom w:val="none" w:sz="0" w:space="0" w:color="auto"/>
        <w:right w:val="none" w:sz="0" w:space="0" w:color="auto"/>
      </w:divBdr>
    </w:div>
    <w:div w:id="123088224">
      <w:bodyDiv w:val="1"/>
      <w:marLeft w:val="0"/>
      <w:marRight w:val="0"/>
      <w:marTop w:val="0"/>
      <w:marBottom w:val="0"/>
      <w:divBdr>
        <w:top w:val="none" w:sz="0" w:space="0" w:color="auto"/>
        <w:left w:val="none" w:sz="0" w:space="0" w:color="auto"/>
        <w:bottom w:val="none" w:sz="0" w:space="0" w:color="auto"/>
        <w:right w:val="none" w:sz="0" w:space="0" w:color="auto"/>
      </w:divBdr>
    </w:div>
    <w:div w:id="471485624">
      <w:bodyDiv w:val="1"/>
      <w:marLeft w:val="0"/>
      <w:marRight w:val="0"/>
      <w:marTop w:val="0"/>
      <w:marBottom w:val="0"/>
      <w:divBdr>
        <w:top w:val="none" w:sz="0" w:space="0" w:color="auto"/>
        <w:left w:val="none" w:sz="0" w:space="0" w:color="auto"/>
        <w:bottom w:val="none" w:sz="0" w:space="0" w:color="auto"/>
        <w:right w:val="none" w:sz="0" w:space="0" w:color="auto"/>
      </w:divBdr>
    </w:div>
    <w:div w:id="480119490">
      <w:bodyDiv w:val="1"/>
      <w:marLeft w:val="0"/>
      <w:marRight w:val="0"/>
      <w:marTop w:val="0"/>
      <w:marBottom w:val="0"/>
      <w:divBdr>
        <w:top w:val="none" w:sz="0" w:space="0" w:color="auto"/>
        <w:left w:val="none" w:sz="0" w:space="0" w:color="auto"/>
        <w:bottom w:val="none" w:sz="0" w:space="0" w:color="auto"/>
        <w:right w:val="none" w:sz="0" w:space="0" w:color="auto"/>
      </w:divBdr>
    </w:div>
    <w:div w:id="945111397">
      <w:bodyDiv w:val="1"/>
      <w:marLeft w:val="0"/>
      <w:marRight w:val="0"/>
      <w:marTop w:val="0"/>
      <w:marBottom w:val="0"/>
      <w:divBdr>
        <w:top w:val="none" w:sz="0" w:space="0" w:color="auto"/>
        <w:left w:val="none" w:sz="0" w:space="0" w:color="auto"/>
        <w:bottom w:val="none" w:sz="0" w:space="0" w:color="auto"/>
        <w:right w:val="none" w:sz="0" w:space="0" w:color="auto"/>
      </w:divBdr>
    </w:div>
    <w:div w:id="1493133968">
      <w:bodyDiv w:val="1"/>
      <w:marLeft w:val="0"/>
      <w:marRight w:val="0"/>
      <w:marTop w:val="0"/>
      <w:marBottom w:val="0"/>
      <w:divBdr>
        <w:top w:val="none" w:sz="0" w:space="0" w:color="auto"/>
        <w:left w:val="none" w:sz="0" w:space="0" w:color="auto"/>
        <w:bottom w:val="none" w:sz="0" w:space="0" w:color="auto"/>
        <w:right w:val="none" w:sz="0" w:space="0" w:color="auto"/>
      </w:divBdr>
    </w:div>
    <w:div w:id="1919753382">
      <w:bodyDiv w:val="1"/>
      <w:marLeft w:val="0"/>
      <w:marRight w:val="0"/>
      <w:marTop w:val="0"/>
      <w:marBottom w:val="0"/>
      <w:divBdr>
        <w:top w:val="none" w:sz="0" w:space="0" w:color="auto"/>
        <w:left w:val="none" w:sz="0" w:space="0" w:color="auto"/>
        <w:bottom w:val="none" w:sz="0" w:space="0" w:color="auto"/>
        <w:right w:val="none" w:sz="0" w:space="0" w:color="auto"/>
      </w:divBdr>
    </w:div>
    <w:div w:id="2097821708">
      <w:bodyDiv w:val="1"/>
      <w:marLeft w:val="0"/>
      <w:marRight w:val="0"/>
      <w:marTop w:val="0"/>
      <w:marBottom w:val="0"/>
      <w:divBdr>
        <w:top w:val="none" w:sz="0" w:space="0" w:color="auto"/>
        <w:left w:val="none" w:sz="0" w:space="0" w:color="auto"/>
        <w:bottom w:val="none" w:sz="0" w:space="0" w:color="auto"/>
        <w:right w:val="none" w:sz="0" w:space="0" w:color="auto"/>
      </w:divBdr>
      <w:divsChild>
        <w:div w:id="1325428500">
          <w:marLeft w:val="0"/>
          <w:marRight w:val="0"/>
          <w:marTop w:val="0"/>
          <w:marBottom w:val="0"/>
          <w:divBdr>
            <w:top w:val="none" w:sz="0" w:space="0" w:color="auto"/>
            <w:left w:val="none" w:sz="0" w:space="0" w:color="auto"/>
            <w:bottom w:val="none" w:sz="0" w:space="0" w:color="auto"/>
            <w:right w:val="none" w:sz="0" w:space="0" w:color="auto"/>
          </w:divBdr>
          <w:divsChild>
            <w:div w:id="613486388">
              <w:marLeft w:val="0"/>
              <w:marRight w:val="0"/>
              <w:marTop w:val="0"/>
              <w:marBottom w:val="0"/>
              <w:divBdr>
                <w:top w:val="none" w:sz="0" w:space="0" w:color="auto"/>
                <w:left w:val="none" w:sz="0" w:space="0" w:color="auto"/>
                <w:bottom w:val="none" w:sz="0" w:space="0" w:color="auto"/>
                <w:right w:val="none" w:sz="0" w:space="0" w:color="auto"/>
              </w:divBdr>
              <w:divsChild>
                <w:div w:id="1077096279">
                  <w:marLeft w:val="0"/>
                  <w:marRight w:val="0"/>
                  <w:marTop w:val="0"/>
                  <w:marBottom w:val="0"/>
                  <w:divBdr>
                    <w:top w:val="none" w:sz="0" w:space="0" w:color="auto"/>
                    <w:left w:val="none" w:sz="0" w:space="0" w:color="auto"/>
                    <w:bottom w:val="none" w:sz="0" w:space="0" w:color="auto"/>
                    <w:right w:val="none" w:sz="0" w:space="0" w:color="auto"/>
                  </w:divBdr>
                  <w:divsChild>
                    <w:div w:id="2146923490">
                      <w:marLeft w:val="0"/>
                      <w:marRight w:val="0"/>
                      <w:marTop w:val="0"/>
                      <w:marBottom w:val="0"/>
                      <w:divBdr>
                        <w:top w:val="none" w:sz="0" w:space="0" w:color="auto"/>
                        <w:left w:val="none" w:sz="0" w:space="0" w:color="auto"/>
                        <w:bottom w:val="none" w:sz="0" w:space="0" w:color="auto"/>
                        <w:right w:val="none" w:sz="0" w:space="0" w:color="auto"/>
                      </w:divBdr>
                      <w:divsChild>
                        <w:div w:id="877202286">
                          <w:marLeft w:val="0"/>
                          <w:marRight w:val="0"/>
                          <w:marTop w:val="0"/>
                          <w:marBottom w:val="0"/>
                          <w:divBdr>
                            <w:top w:val="none" w:sz="0" w:space="0" w:color="auto"/>
                            <w:left w:val="none" w:sz="0" w:space="0" w:color="auto"/>
                            <w:bottom w:val="none" w:sz="0" w:space="0" w:color="auto"/>
                            <w:right w:val="none" w:sz="0" w:space="0" w:color="auto"/>
                          </w:divBdr>
                          <w:divsChild>
                            <w:div w:id="1200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ester.ac.uk/registryservices/documents/TaughtCoursesRegulatoryFramework.pdf" TargetMode="External"/><Relationship Id="rId13" Type="http://schemas.openxmlformats.org/officeDocument/2006/relationships/hyperlink" Target="http://www.worc.ac.uk/aqu/documents/GenericUndergraduateGradeDescriptors.pdf" TargetMode="External"/><Relationship Id="rId18" Type="http://schemas.openxmlformats.org/officeDocument/2006/relationships/hyperlink" Target="https://www2.worc.ac.uk/aqu/documents/CourseManagementCommittees.pdf" TargetMode="External"/><Relationship Id="rId26" Type="http://schemas.openxmlformats.org/officeDocument/2006/relationships/hyperlink" Target="http://www.worc.ac.uk/aqu/documents/PolicyforApprovingMarketingandPublicityMaterial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rc.ac.uk/personnel/655.htm" TargetMode="External"/><Relationship Id="rId34" Type="http://schemas.openxmlformats.org/officeDocument/2006/relationships/hyperlink" Target="http://www.worcester.ac.uk/aqu/documents/Registered_Lecturer_Policy.pdf" TargetMode="External"/><Relationship Id="rId7" Type="http://schemas.openxmlformats.org/officeDocument/2006/relationships/endnotes" Target="endnotes.xml"/><Relationship Id="rId12" Type="http://schemas.openxmlformats.org/officeDocument/2006/relationships/hyperlink" Target="http://www.worc.ac.uk/aqu/documents/AssessmentPolicy.pdf" TargetMode="External"/><Relationship Id="rId17" Type="http://schemas.openxmlformats.org/officeDocument/2006/relationships/hyperlink" Target="https://www2.worc.ac.uk/aqu/documents/CourseClosureSuspensionSignificantChangePolicy.pdf" TargetMode="External"/><Relationship Id="rId25" Type="http://schemas.openxmlformats.org/officeDocument/2006/relationships/hyperlink" Target="http://www.worc.ac.uk/aqu/documents/Inclusive_assessment_and_reasonable_adjustments_policy_and_procedures.pdf" TargetMode="External"/><Relationship Id="rId33" Type="http://schemas.openxmlformats.org/officeDocument/2006/relationships/hyperlink" Target="https://www.worc.ac.uk/aqu/documents/Provision_of_Information_for_Prospective_Students_Policy(1).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rc.ac.uk/aqu/documents/Collaborative_Academic_Arrangements_Policy(1).pdf" TargetMode="External"/><Relationship Id="rId20" Type="http://schemas.openxmlformats.org/officeDocument/2006/relationships/hyperlink" Target="http://www.worc.ac.uk/aqu/documents/CurriculumDesignPolicy.pdf" TargetMode="External"/><Relationship Id="rId29" Type="http://schemas.openxmlformats.org/officeDocument/2006/relationships/hyperlink" Target="http://www.worc.ac.uk/aqu/documents/Module_Evaluation_Response_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ac.uk/registryservices/documents/AdmissionsPolicy.pdf" TargetMode="External"/><Relationship Id="rId24" Type="http://schemas.openxmlformats.org/officeDocument/2006/relationships/hyperlink" Target="http://www.worc.ac.uk/aqu/documents/QSforFlexibleDistributedLearning.pdf" TargetMode="External"/><Relationship Id="rId32" Type="http://schemas.openxmlformats.org/officeDocument/2006/relationships/hyperlink" Target="http://www.worcester.ac.uk/aqu/658.htm" TargetMode="External"/><Relationship Id="rId37" Type="http://schemas.openxmlformats.org/officeDocument/2006/relationships/hyperlink" Target="http://www.worc.ac.uk/aqu/documents/Turnitin_Policy_Statement.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c.ac.uk/aqu/documents/Grade_Descriptors_-_Level_8_PGR.pdf" TargetMode="External"/><Relationship Id="rId23" Type="http://schemas.openxmlformats.org/officeDocument/2006/relationships/hyperlink" Target="https://www2.worc.ac.uk/researchworcester/" TargetMode="External"/><Relationship Id="rId28" Type="http://schemas.openxmlformats.org/officeDocument/2006/relationships/hyperlink" Target="http://www.worc.ac.uk/aqu/documents/Module_Evaluation_-_Guidance_for_the_Use_and_Dissemination_of_Results.pdf" TargetMode="External"/><Relationship Id="rId36" Type="http://schemas.openxmlformats.org/officeDocument/2006/relationships/hyperlink" Target="http://www.worc.ac.uk/aqu/documents/StudentInternationalMobilityPolicy.pdf" TargetMode="External"/><Relationship Id="rId10" Type="http://schemas.openxmlformats.org/officeDocument/2006/relationships/hyperlink" Target="https://www2.worc.ac.uk/aqu/documents/TEL_Strategy.pdf" TargetMode="External"/><Relationship Id="rId19" Type="http://schemas.openxmlformats.org/officeDocument/2006/relationships/hyperlink" Target="https://www.worcsu.com/pageassets/yourvoice/reps/staff/Academic-Representation-System-Code-of-Practice_19-20(1).pdf" TargetMode="External"/><Relationship Id="rId31" Type="http://schemas.openxmlformats.org/officeDocument/2006/relationships/hyperlink" Target="https://www2.worc.ac.uk/aqu/documents/Personal_Academic_Tutoring_Policy.pdf" TargetMode="External"/><Relationship Id="rId4" Type="http://schemas.openxmlformats.org/officeDocument/2006/relationships/settings" Target="settings.xml"/><Relationship Id="rId9" Type="http://schemas.openxmlformats.org/officeDocument/2006/relationships/hyperlink" Target="http://www.worc.ac.uk/aqu/658.htm" TargetMode="External"/><Relationship Id="rId14" Type="http://schemas.openxmlformats.org/officeDocument/2006/relationships/hyperlink" Target="http://www.worcester.ac.uk/aqu/documents/Grade_Descriptors_-_Level_7_Masters.pdf" TargetMode="External"/><Relationship Id="rId22" Type="http://schemas.openxmlformats.org/officeDocument/2006/relationships/hyperlink" Target="http://www.worc.ac.uk/personnel/655.htm" TargetMode="External"/><Relationship Id="rId27" Type="http://schemas.openxmlformats.org/officeDocument/2006/relationships/hyperlink" Target="http://www.worc.ac.uk/aqu/documents/Module_Evaluation_Policy.pdf" TargetMode="External"/><Relationship Id="rId30" Type="http://schemas.openxmlformats.org/officeDocument/2006/relationships/hyperlink" Target="https://www2.worc.ac.uk/aqu/documents/Peer_Supported_Review_of_Teaching_Policy.docx" TargetMode="External"/><Relationship Id="rId35" Type="http://schemas.openxmlformats.org/officeDocument/2006/relationships/hyperlink" Target="https://www.worcester.ac.uk/registryservices/documents/Student_Attendance_Policy_July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7A65-A477-4EA6-AB19-4DF03884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11603</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University Regulatory Frameworks, Quality and Learning and Teaching Policies as at September 2007</vt:lpstr>
    </vt:vector>
  </TitlesOfParts>
  <Company>University of Worcester</Company>
  <LinksUpToDate>false</LinksUpToDate>
  <CharactersWithSpaces>12955</CharactersWithSpaces>
  <SharedDoc>false</SharedDoc>
  <HLinks>
    <vt:vector size="240" baseType="variant">
      <vt:variant>
        <vt:i4>8192062</vt:i4>
      </vt:variant>
      <vt:variant>
        <vt:i4>117</vt:i4>
      </vt:variant>
      <vt:variant>
        <vt:i4>0</vt:i4>
      </vt:variant>
      <vt:variant>
        <vt:i4>5</vt:i4>
      </vt:variant>
      <vt:variant>
        <vt:lpwstr>http://www.worc.ac.uk/ils/1270.htm</vt:lpwstr>
      </vt:variant>
      <vt:variant>
        <vt:lpwstr/>
      </vt:variant>
      <vt:variant>
        <vt:i4>720896</vt:i4>
      </vt:variant>
      <vt:variant>
        <vt:i4>114</vt:i4>
      </vt:variant>
      <vt:variant>
        <vt:i4>0</vt:i4>
      </vt:variant>
      <vt:variant>
        <vt:i4>5</vt:i4>
      </vt:variant>
      <vt:variant>
        <vt:lpwstr>http://www.worc.ac.uk/aqu/662.htm</vt:lpwstr>
      </vt:variant>
      <vt:variant>
        <vt:lpwstr/>
      </vt:variant>
      <vt:variant>
        <vt:i4>983042</vt:i4>
      </vt:variant>
      <vt:variant>
        <vt:i4>111</vt:i4>
      </vt:variant>
      <vt:variant>
        <vt:i4>0</vt:i4>
      </vt:variant>
      <vt:variant>
        <vt:i4>5</vt:i4>
      </vt:variant>
      <vt:variant>
        <vt:lpwstr>http://www.worc.ac.uk/aqu/721.htm</vt:lpwstr>
      </vt:variant>
      <vt:variant>
        <vt:lpwstr/>
      </vt:variant>
      <vt:variant>
        <vt:i4>4128873</vt:i4>
      </vt:variant>
      <vt:variant>
        <vt:i4>108</vt:i4>
      </vt:variant>
      <vt:variant>
        <vt:i4>0</vt:i4>
      </vt:variant>
      <vt:variant>
        <vt:i4>5</vt:i4>
      </vt:variant>
      <vt:variant>
        <vt:lpwstr>http://www.worc.ac.uk/aqu/documents/LearningOutcomesGuide-PrinciplesforCourseDesign.doc</vt:lpwstr>
      </vt:variant>
      <vt:variant>
        <vt:lpwstr/>
      </vt:variant>
      <vt:variant>
        <vt:i4>589847</vt:i4>
      </vt:variant>
      <vt:variant>
        <vt:i4>105</vt:i4>
      </vt:variant>
      <vt:variant>
        <vt:i4>0</vt:i4>
      </vt:variant>
      <vt:variant>
        <vt:i4>5</vt:i4>
      </vt:variant>
      <vt:variant>
        <vt:lpwstr>http://www.worc.ac.uk/aqu/documents/IndependentStudyGuideTemplate.doc</vt:lpwstr>
      </vt:variant>
      <vt:variant>
        <vt:lpwstr/>
      </vt:variant>
      <vt:variant>
        <vt:i4>5505040</vt:i4>
      </vt:variant>
      <vt:variant>
        <vt:i4>102</vt:i4>
      </vt:variant>
      <vt:variant>
        <vt:i4>0</vt:i4>
      </vt:variant>
      <vt:variant>
        <vt:i4>5</vt:i4>
      </vt:variant>
      <vt:variant>
        <vt:lpwstr>http://www.worc.ac.uk/aqu/documents/CPA_-_CollabHandbook.doc</vt:lpwstr>
      </vt:variant>
      <vt:variant>
        <vt:lpwstr/>
      </vt:variant>
      <vt:variant>
        <vt:i4>2818159</vt:i4>
      </vt:variant>
      <vt:variant>
        <vt:i4>99</vt:i4>
      </vt:variant>
      <vt:variant>
        <vt:i4>0</vt:i4>
      </vt:variant>
      <vt:variant>
        <vt:i4>5</vt:i4>
      </vt:variant>
      <vt:variant>
        <vt:lpwstr>http://www.worc.ac.uk/aqu/documents/CPA_-_UWCourseHandbookTemplate.doc</vt:lpwstr>
      </vt:variant>
      <vt:variant>
        <vt:lpwstr/>
      </vt:variant>
      <vt:variant>
        <vt:i4>2556014</vt:i4>
      </vt:variant>
      <vt:variant>
        <vt:i4>96</vt:i4>
      </vt:variant>
      <vt:variant>
        <vt:i4>0</vt:i4>
      </vt:variant>
      <vt:variant>
        <vt:i4>5</vt:i4>
      </vt:variant>
      <vt:variant>
        <vt:lpwstr>http://www.worc.ac.uk/careers/documents/CEAIG_positional_statement_final_23_07_2012(1).docx</vt:lpwstr>
      </vt:variant>
      <vt:variant>
        <vt:lpwstr/>
      </vt:variant>
      <vt:variant>
        <vt:i4>6488177</vt:i4>
      </vt:variant>
      <vt:variant>
        <vt:i4>93</vt:i4>
      </vt:variant>
      <vt:variant>
        <vt:i4>0</vt:i4>
      </vt:variant>
      <vt:variant>
        <vt:i4>5</vt:i4>
      </vt:variant>
      <vt:variant>
        <vt:lpwstr>http://www.worcester.ac.uk/aqu/documents/WBPLRiskAssessmentGuidanceandTool.docx</vt:lpwstr>
      </vt:variant>
      <vt:variant>
        <vt:lpwstr/>
      </vt:variant>
      <vt:variant>
        <vt:i4>1376279</vt:i4>
      </vt:variant>
      <vt:variant>
        <vt:i4>90</vt:i4>
      </vt:variant>
      <vt:variant>
        <vt:i4>0</vt:i4>
      </vt:variant>
      <vt:variant>
        <vt:i4>5</vt:i4>
      </vt:variant>
      <vt:variant>
        <vt:lpwstr>http://www.worcester.ac.uk/aqu/documents/WBPLAuditRecord.docx</vt:lpwstr>
      </vt:variant>
      <vt:variant>
        <vt:lpwstr/>
      </vt:variant>
      <vt:variant>
        <vt:i4>1507403</vt:i4>
      </vt:variant>
      <vt:variant>
        <vt:i4>87</vt:i4>
      </vt:variant>
      <vt:variant>
        <vt:i4>0</vt:i4>
      </vt:variant>
      <vt:variant>
        <vt:i4>5</vt:i4>
      </vt:variant>
      <vt:variant>
        <vt:lpwstr>http://www.worcester.ac.uk/aqu/documents/Work-basedandPlacementLearningPolicy.pdf</vt:lpwstr>
      </vt:variant>
      <vt:variant>
        <vt:lpwstr/>
      </vt:variant>
      <vt:variant>
        <vt:i4>2293823</vt:i4>
      </vt:variant>
      <vt:variant>
        <vt:i4>84</vt:i4>
      </vt:variant>
      <vt:variant>
        <vt:i4>0</vt:i4>
      </vt:variant>
      <vt:variant>
        <vt:i4>5</vt:i4>
      </vt:variant>
      <vt:variant>
        <vt:lpwstr>http://www.worc.ac.uk/aqu/documents/RegisteredLecturerandPolicyonMinimumQualifications.pdf</vt:lpwstr>
      </vt:variant>
      <vt:variant>
        <vt:lpwstr/>
      </vt:variant>
      <vt:variant>
        <vt:i4>1900575</vt:i4>
      </vt:variant>
      <vt:variant>
        <vt:i4>81</vt:i4>
      </vt:variant>
      <vt:variant>
        <vt:i4>0</vt:i4>
      </vt:variant>
      <vt:variant>
        <vt:i4>5</vt:i4>
      </vt:variant>
      <vt:variant>
        <vt:lpwstr>http://www.worc.ac.uk/aqu/documents/ProgSpecTemplateHNDFD.doc</vt:lpwstr>
      </vt:variant>
      <vt:variant>
        <vt:lpwstr/>
      </vt:variant>
      <vt:variant>
        <vt:i4>1114236</vt:i4>
      </vt:variant>
      <vt:variant>
        <vt:i4>78</vt:i4>
      </vt:variant>
      <vt:variant>
        <vt:i4>0</vt:i4>
      </vt:variant>
      <vt:variant>
        <vt:i4>5</vt:i4>
      </vt:variant>
      <vt:variant>
        <vt:lpwstr>http://www.worc.ac.uk/aqu/documents/_Course_Handbook_Guidance_for_2012-13.docx</vt:lpwstr>
      </vt:variant>
      <vt:variant>
        <vt:lpwstr/>
      </vt:variant>
      <vt:variant>
        <vt:i4>5636118</vt:i4>
      </vt:variant>
      <vt:variant>
        <vt:i4>75</vt:i4>
      </vt:variant>
      <vt:variant>
        <vt:i4>0</vt:i4>
      </vt:variant>
      <vt:variant>
        <vt:i4>5</vt:i4>
      </vt:variant>
      <vt:variant>
        <vt:lpwstr>http://www.worcester.ac.uk/aqu/documents/ProgressionfromFoundationDegreestoTop-Up.pdf</vt:lpwstr>
      </vt:variant>
      <vt:variant>
        <vt:lpwstr/>
      </vt:variant>
      <vt:variant>
        <vt:i4>1572870</vt:i4>
      </vt:variant>
      <vt:variant>
        <vt:i4>72</vt:i4>
      </vt:variant>
      <vt:variant>
        <vt:i4>0</vt:i4>
      </vt:variant>
      <vt:variant>
        <vt:i4>5</vt:i4>
      </vt:variant>
      <vt:variant>
        <vt:lpwstr>http://www.worc.ac.uk/personaltutor/</vt:lpwstr>
      </vt:variant>
      <vt:variant>
        <vt:lpwstr/>
      </vt:variant>
      <vt:variant>
        <vt:i4>6291567</vt:i4>
      </vt:variant>
      <vt:variant>
        <vt:i4>69</vt:i4>
      </vt:variant>
      <vt:variant>
        <vt:i4>0</vt:i4>
      </vt:variant>
      <vt:variant>
        <vt:i4>5</vt:i4>
      </vt:variant>
      <vt:variant>
        <vt:lpwstr>http://www.worc.ac.uk/aqu/documents/PolicyQualityStandardsonPersonalDevelopmentPlanning.doc</vt:lpwstr>
      </vt:variant>
      <vt:variant>
        <vt:lpwstr/>
      </vt:variant>
      <vt:variant>
        <vt:i4>2883621</vt:i4>
      </vt:variant>
      <vt:variant>
        <vt:i4>66</vt:i4>
      </vt:variant>
      <vt:variant>
        <vt:i4>0</vt:i4>
      </vt:variant>
      <vt:variant>
        <vt:i4>5</vt:i4>
      </vt:variant>
      <vt:variant>
        <vt:lpwstr>http://www.worc.ac.uk/adpu/899.htm</vt:lpwstr>
      </vt:variant>
      <vt:variant>
        <vt:lpwstr/>
      </vt:variant>
      <vt:variant>
        <vt:i4>1310741</vt:i4>
      </vt:variant>
      <vt:variant>
        <vt:i4>63</vt:i4>
      </vt:variant>
      <vt:variant>
        <vt:i4>0</vt:i4>
      </vt:variant>
      <vt:variant>
        <vt:i4>5</vt:i4>
      </vt:variant>
      <vt:variant>
        <vt:lpwstr>http://www.worc.ac.uk/aqu/documents/PartnershipsCollabAcademicProvisionPolicy.doc</vt:lpwstr>
      </vt:variant>
      <vt:variant>
        <vt:lpwstr/>
      </vt:variant>
      <vt:variant>
        <vt:i4>4325497</vt:i4>
      </vt:variant>
      <vt:variant>
        <vt:i4>60</vt:i4>
      </vt:variant>
      <vt:variant>
        <vt:i4>0</vt:i4>
      </vt:variant>
      <vt:variant>
        <vt:i4>5</vt:i4>
      </vt:variant>
      <vt:variant>
        <vt:lpwstr>http://www.worc.ac.uk/aqu/documents/Module_evaluation_response_form.doc</vt:lpwstr>
      </vt:variant>
      <vt:variant>
        <vt:lpwstr/>
      </vt:variant>
      <vt:variant>
        <vt:i4>1245213</vt:i4>
      </vt:variant>
      <vt:variant>
        <vt:i4>57</vt:i4>
      </vt:variant>
      <vt:variant>
        <vt:i4>0</vt:i4>
      </vt:variant>
      <vt:variant>
        <vt:i4>5</vt:i4>
      </vt:variant>
      <vt:variant>
        <vt:lpwstr>http://www.worc.ac.uk/aqu/documents/ModuleEvaluationQuestionnaire.doc</vt:lpwstr>
      </vt:variant>
      <vt:variant>
        <vt:lpwstr/>
      </vt:variant>
      <vt:variant>
        <vt:i4>7929954</vt:i4>
      </vt:variant>
      <vt:variant>
        <vt:i4>54</vt:i4>
      </vt:variant>
      <vt:variant>
        <vt:i4>0</vt:i4>
      </vt:variant>
      <vt:variant>
        <vt:i4>5</vt:i4>
      </vt:variant>
      <vt:variant>
        <vt:lpwstr>http://www.worcester.ac.uk/aqu/documents/Module_Evaluation_Policy.pdf</vt:lpwstr>
      </vt:variant>
      <vt:variant>
        <vt:lpwstr/>
      </vt:variant>
      <vt:variant>
        <vt:i4>5701712</vt:i4>
      </vt:variant>
      <vt:variant>
        <vt:i4>51</vt:i4>
      </vt:variant>
      <vt:variant>
        <vt:i4>0</vt:i4>
      </vt:variant>
      <vt:variant>
        <vt:i4>5</vt:i4>
      </vt:variant>
      <vt:variant>
        <vt:lpwstr>http://www.worc.ac.uk/aqu/documents/PolicyforApprovingMarketingandPublicityMaterials.pdf</vt:lpwstr>
      </vt:variant>
      <vt:variant>
        <vt:lpwstr/>
      </vt:variant>
      <vt:variant>
        <vt:i4>6291577</vt:i4>
      </vt:variant>
      <vt:variant>
        <vt:i4>48</vt:i4>
      </vt:variant>
      <vt:variant>
        <vt:i4>0</vt:i4>
      </vt:variant>
      <vt:variant>
        <vt:i4>5</vt:i4>
      </vt:variant>
      <vt:variant>
        <vt:lpwstr>http://www.worc.ac.uk/aqu/documents/HNDFDAwardsJuly2010.pdf</vt:lpwstr>
      </vt:variant>
      <vt:variant>
        <vt:lpwstr/>
      </vt:variant>
      <vt:variant>
        <vt:i4>4259918</vt:i4>
      </vt:variant>
      <vt:variant>
        <vt:i4>45</vt:i4>
      </vt:variant>
      <vt:variant>
        <vt:i4>0</vt:i4>
      </vt:variant>
      <vt:variant>
        <vt:i4>5</vt:i4>
      </vt:variant>
      <vt:variant>
        <vt:lpwstr>http://www.worc.ac.uk/aqu/documents/QSforFlexibleDistributedLearning.pdf</vt:lpwstr>
      </vt:variant>
      <vt:variant>
        <vt:lpwstr/>
      </vt:variant>
      <vt:variant>
        <vt:i4>6553724</vt:i4>
      </vt:variant>
      <vt:variant>
        <vt:i4>41</vt:i4>
      </vt:variant>
      <vt:variant>
        <vt:i4>0</vt:i4>
      </vt:variant>
      <vt:variant>
        <vt:i4>5</vt:i4>
      </vt:variant>
      <vt:variant>
        <vt:lpwstr>http://www.worc.ac.uk/personnel/655.htm</vt:lpwstr>
      </vt:variant>
      <vt:variant>
        <vt:lpwstr/>
      </vt:variant>
      <vt:variant>
        <vt:i4>6553724</vt:i4>
      </vt:variant>
      <vt:variant>
        <vt:i4>39</vt:i4>
      </vt:variant>
      <vt:variant>
        <vt:i4>0</vt:i4>
      </vt:variant>
      <vt:variant>
        <vt:i4>5</vt:i4>
      </vt:variant>
      <vt:variant>
        <vt:lpwstr>http://www.worc.ac.uk/personnel/655.htm</vt:lpwstr>
      </vt:variant>
      <vt:variant>
        <vt:lpwstr/>
      </vt:variant>
      <vt:variant>
        <vt:i4>2949158</vt:i4>
      </vt:variant>
      <vt:variant>
        <vt:i4>36</vt:i4>
      </vt:variant>
      <vt:variant>
        <vt:i4>0</vt:i4>
      </vt:variant>
      <vt:variant>
        <vt:i4>5</vt:i4>
      </vt:variant>
      <vt:variant>
        <vt:lpwstr>http://www.worc.ac.uk/aqu/documents/CurriculumDesignPolicy.pdf</vt:lpwstr>
      </vt:variant>
      <vt:variant>
        <vt:lpwstr/>
      </vt:variant>
      <vt:variant>
        <vt:i4>7012473</vt:i4>
      </vt:variant>
      <vt:variant>
        <vt:i4>33</vt:i4>
      </vt:variant>
      <vt:variant>
        <vt:i4>0</vt:i4>
      </vt:variant>
      <vt:variant>
        <vt:i4>5</vt:i4>
      </vt:variant>
      <vt:variant>
        <vt:lpwstr>http://www.worc.ac.uk/aqu/documents/Student_Academic_Representatives.doc</vt:lpwstr>
      </vt:variant>
      <vt:variant>
        <vt:lpwstr/>
      </vt:variant>
      <vt:variant>
        <vt:i4>6553698</vt:i4>
      </vt:variant>
      <vt:variant>
        <vt:i4>30</vt:i4>
      </vt:variant>
      <vt:variant>
        <vt:i4>0</vt:i4>
      </vt:variant>
      <vt:variant>
        <vt:i4>5</vt:i4>
      </vt:variant>
      <vt:variant>
        <vt:lpwstr>http://www.worc.ac.uk/aqu/documents/Course_management_committees.doc</vt:lpwstr>
      </vt:variant>
      <vt:variant>
        <vt:lpwstr/>
      </vt:variant>
      <vt:variant>
        <vt:i4>7209071</vt:i4>
      </vt:variant>
      <vt:variant>
        <vt:i4>27</vt:i4>
      </vt:variant>
      <vt:variant>
        <vt:i4>0</vt:i4>
      </vt:variant>
      <vt:variant>
        <vt:i4>5</vt:i4>
      </vt:variant>
      <vt:variant>
        <vt:lpwstr>http://www.worc.ac.uk/aqu/documents/ArrangementsforDisabledStudents.doc</vt:lpwstr>
      </vt:variant>
      <vt:variant>
        <vt:lpwstr/>
      </vt:variant>
      <vt:variant>
        <vt:i4>5963859</vt:i4>
      </vt:variant>
      <vt:variant>
        <vt:i4>24</vt:i4>
      </vt:variant>
      <vt:variant>
        <vt:i4>0</vt:i4>
      </vt:variant>
      <vt:variant>
        <vt:i4>5</vt:i4>
      </vt:variant>
      <vt:variant>
        <vt:lpwstr>http://www.worc.ac.uk/aqu/documents/GradeDescriptorsMastersLevel.pdf</vt:lpwstr>
      </vt:variant>
      <vt:variant>
        <vt:lpwstr/>
      </vt:variant>
      <vt:variant>
        <vt:i4>3145770</vt:i4>
      </vt:variant>
      <vt:variant>
        <vt:i4>21</vt:i4>
      </vt:variant>
      <vt:variant>
        <vt:i4>0</vt:i4>
      </vt:variant>
      <vt:variant>
        <vt:i4>5</vt:i4>
      </vt:variant>
      <vt:variant>
        <vt:lpwstr>http://www.worc.ac.uk/aqu/documents/GradeDescriptorsUndergraduateLevel.pdf</vt:lpwstr>
      </vt:variant>
      <vt:variant>
        <vt:lpwstr/>
      </vt:variant>
      <vt:variant>
        <vt:i4>6160460</vt:i4>
      </vt:variant>
      <vt:variant>
        <vt:i4>18</vt:i4>
      </vt:variant>
      <vt:variant>
        <vt:i4>0</vt:i4>
      </vt:variant>
      <vt:variant>
        <vt:i4>5</vt:i4>
      </vt:variant>
      <vt:variant>
        <vt:lpwstr>http://www.worc.ac.uk/aqu/documents/AssessmentPolicy.pdf</vt:lpwstr>
      </vt:variant>
      <vt:variant>
        <vt:lpwstr/>
      </vt:variant>
      <vt:variant>
        <vt:i4>7340133</vt:i4>
      </vt:variant>
      <vt:variant>
        <vt:i4>15</vt:i4>
      </vt:variant>
      <vt:variant>
        <vt:i4>0</vt:i4>
      </vt:variant>
      <vt:variant>
        <vt:i4>5</vt:i4>
      </vt:variant>
      <vt:variant>
        <vt:lpwstr>http://www.worcester.ac.uk/registryservices/documents/AdmissionsPolicy.pdf</vt:lpwstr>
      </vt:variant>
      <vt:variant>
        <vt:lpwstr/>
      </vt:variant>
      <vt:variant>
        <vt:i4>5505091</vt:i4>
      </vt:variant>
      <vt:variant>
        <vt:i4>12</vt:i4>
      </vt:variant>
      <vt:variant>
        <vt:i4>0</vt:i4>
      </vt:variant>
      <vt:variant>
        <vt:i4>5</vt:i4>
      </vt:variant>
      <vt:variant>
        <vt:lpwstr>http://www.worc.ac.uk/adpu/documents/Student_Employability_supporting_statement_for_LTA_strategy_final_4_2_11.pdf</vt:lpwstr>
      </vt:variant>
      <vt:variant>
        <vt:lpwstr/>
      </vt:variant>
      <vt:variant>
        <vt:i4>4653096</vt:i4>
      </vt:variant>
      <vt:variant>
        <vt:i4>9</vt:i4>
      </vt:variant>
      <vt:variant>
        <vt:i4>0</vt:i4>
      </vt:variant>
      <vt:variant>
        <vt:i4>5</vt:i4>
      </vt:variant>
      <vt:variant>
        <vt:lpwstr>http://www.worc.ac.uk/adpu/documents/Learning_Teaching_and_Assessment_Strategy_final_3_2_11_(2).pdf</vt:lpwstr>
      </vt:variant>
      <vt:variant>
        <vt:lpwstr/>
      </vt:variant>
      <vt:variant>
        <vt:i4>5570565</vt:i4>
      </vt:variant>
      <vt:variant>
        <vt:i4>6</vt:i4>
      </vt:variant>
      <vt:variant>
        <vt:i4>0</vt:i4>
      </vt:variant>
      <vt:variant>
        <vt:i4>5</vt:i4>
      </vt:variant>
      <vt:variant>
        <vt:lpwstr>http://www2.worc.ac.uk/registry/pdf/PostgraduateRegulatoryFramework2007entry.pdf</vt:lpwstr>
      </vt:variant>
      <vt:variant>
        <vt:lpwstr/>
      </vt:variant>
      <vt:variant>
        <vt:i4>7864437</vt:i4>
      </vt:variant>
      <vt:variant>
        <vt:i4>3</vt:i4>
      </vt:variant>
      <vt:variant>
        <vt:i4>0</vt:i4>
      </vt:variant>
      <vt:variant>
        <vt:i4>5</vt:i4>
      </vt:variant>
      <vt:variant>
        <vt:lpwstr>http://www.worc.ac.uk/aqu/documents/PrinciplesandGuidanceforDesignofUndergradCoursesURF.pdf</vt:lpwstr>
      </vt:variant>
      <vt:variant>
        <vt:lpwstr/>
      </vt:variant>
      <vt:variant>
        <vt:i4>1638495</vt:i4>
      </vt:variant>
      <vt:variant>
        <vt:i4>0</vt:i4>
      </vt:variant>
      <vt:variant>
        <vt:i4>0</vt:i4>
      </vt:variant>
      <vt:variant>
        <vt:i4>5</vt:i4>
      </vt:variant>
      <vt:variant>
        <vt:lpwstr>http://www2.worc.ac.uk/registry/pdf/UndergraduateRegulatoryFramework2007entry.pdf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Regulatory Frameworks, Quality and Learning and Teaching Policies as at September 2007</dc:title>
  <dc:creator>stom1</dc:creator>
  <cp:lastModifiedBy>Teresa Nahajski</cp:lastModifiedBy>
  <cp:revision>3</cp:revision>
  <cp:lastPrinted>2019-11-07T10:23:00Z</cp:lastPrinted>
  <dcterms:created xsi:type="dcterms:W3CDTF">2019-11-07T10:23:00Z</dcterms:created>
  <dcterms:modified xsi:type="dcterms:W3CDTF">2019-11-07T10:24:00Z</dcterms:modified>
</cp:coreProperties>
</file>