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3F96" w14:textId="77777777" w:rsidR="0035191C" w:rsidRDefault="00B15822">
      <w:pPr>
        <w:spacing w:after="607" w:line="259" w:lineRule="auto"/>
        <w:ind w:left="0" w:right="0" w:firstLine="0"/>
        <w:jc w:val="right"/>
      </w:pPr>
      <w:r>
        <w:rPr>
          <w:sz w:val="20"/>
        </w:rPr>
        <w:t xml:space="preserve"> </w:t>
      </w:r>
    </w:p>
    <w:p w14:paraId="0F203F97" w14:textId="77777777" w:rsidR="0035191C" w:rsidRDefault="00B15822">
      <w:pPr>
        <w:spacing w:after="221" w:line="259" w:lineRule="auto"/>
        <w:ind w:left="30" w:right="0" w:firstLine="0"/>
        <w:jc w:val="center"/>
      </w:pPr>
      <w:r>
        <w:rPr>
          <w:noProof/>
        </w:rPr>
        <w:drawing>
          <wp:anchor distT="0" distB="0" distL="114300" distR="114300" simplePos="0" relativeHeight="251658240" behindDoc="0" locked="0" layoutInCell="1" allowOverlap="0" wp14:anchorId="0F203FD6" wp14:editId="0F203FD7">
            <wp:simplePos x="0" y="0"/>
            <wp:positionH relativeFrom="column">
              <wp:posOffset>18745</wp:posOffset>
            </wp:positionH>
            <wp:positionV relativeFrom="paragraph">
              <wp:posOffset>-57149</wp:posOffset>
            </wp:positionV>
            <wp:extent cx="2057400" cy="619125"/>
            <wp:effectExtent l="0" t="0" r="0" b="0"/>
            <wp:wrapSquare wrapText="bothSides"/>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7"/>
                    <a:stretch>
                      <a:fillRect/>
                    </a:stretch>
                  </pic:blipFill>
                  <pic:spPr>
                    <a:xfrm>
                      <a:off x="0" y="0"/>
                      <a:ext cx="2057400" cy="619125"/>
                    </a:xfrm>
                    <a:prstGeom prst="rect">
                      <a:avLst/>
                    </a:prstGeom>
                  </pic:spPr>
                </pic:pic>
              </a:graphicData>
            </a:graphic>
          </wp:anchor>
        </w:drawing>
      </w:r>
      <w:r>
        <w:rPr>
          <w:b/>
        </w:rPr>
        <w:t xml:space="preserve"> </w:t>
      </w:r>
    </w:p>
    <w:p w14:paraId="0F203F98" w14:textId="77777777" w:rsidR="0035191C" w:rsidRDefault="00B15822">
      <w:pPr>
        <w:spacing w:after="0" w:line="259" w:lineRule="auto"/>
        <w:ind w:left="30" w:right="162" w:firstLine="0"/>
        <w:jc w:val="right"/>
      </w:pPr>
      <w:r>
        <w:rPr>
          <w:b/>
        </w:rPr>
        <w:t xml:space="preserve">Guidelines for the mentoring of external </w:t>
      </w:r>
    </w:p>
    <w:p w14:paraId="0F203F99" w14:textId="77777777" w:rsidR="0035191C" w:rsidRDefault="00B15822" w:rsidP="00B15822">
      <w:pPr>
        <w:spacing w:after="0" w:line="259" w:lineRule="auto"/>
        <w:ind w:left="3269" w:right="0" w:firstLine="0"/>
      </w:pPr>
      <w:r>
        <w:t xml:space="preserve"> </w:t>
      </w:r>
      <w:r>
        <w:tab/>
        <w:t xml:space="preserve">           </w:t>
      </w:r>
      <w:r>
        <w:rPr>
          <w:b/>
        </w:rPr>
        <w:t xml:space="preserve"> </w:t>
      </w:r>
      <w:r>
        <w:rPr>
          <w:b/>
        </w:rPr>
        <w:tab/>
        <w:t xml:space="preserve">examiners who are new to the role  </w:t>
      </w:r>
    </w:p>
    <w:p w14:paraId="0F203F9A" w14:textId="77777777" w:rsidR="0035191C" w:rsidRDefault="00B15822">
      <w:pPr>
        <w:spacing w:after="0" w:line="259" w:lineRule="auto"/>
        <w:ind w:left="0" w:right="0" w:firstLine="0"/>
      </w:pPr>
      <w:r>
        <w:t xml:space="preserve"> </w:t>
      </w:r>
    </w:p>
    <w:p w14:paraId="0F203F9B" w14:textId="77777777" w:rsidR="0035191C" w:rsidRDefault="00B15822">
      <w:pPr>
        <w:spacing w:after="77" w:line="259" w:lineRule="auto"/>
        <w:ind w:left="0" w:right="0" w:firstLine="0"/>
      </w:pPr>
      <w:r>
        <w:t xml:space="preserve"> </w:t>
      </w:r>
      <w:r>
        <w:tab/>
      </w:r>
      <w:r>
        <w:rPr>
          <w:b/>
          <w:sz w:val="22"/>
        </w:rPr>
        <w:t xml:space="preserve"> </w:t>
      </w:r>
    </w:p>
    <w:p w14:paraId="0F203F9C" w14:textId="77777777" w:rsidR="0035191C" w:rsidRDefault="00B15822">
      <w:pPr>
        <w:spacing w:after="0" w:line="259" w:lineRule="auto"/>
        <w:ind w:left="0" w:right="0" w:firstLine="0"/>
      </w:pPr>
      <w:r>
        <w:t xml:space="preserve"> </w:t>
      </w:r>
    </w:p>
    <w:p w14:paraId="0F203F9D" w14:textId="77777777" w:rsidR="0035191C" w:rsidRDefault="00B15822">
      <w:pPr>
        <w:pStyle w:val="Heading1"/>
        <w:ind w:left="-5" w:right="0"/>
      </w:pPr>
      <w:r>
        <w:t xml:space="preserve">Mentor Arrangements for New External Examiners </w:t>
      </w:r>
      <w:r>
        <w:rPr>
          <w:b w:val="0"/>
        </w:rPr>
        <w:t xml:space="preserve"> </w:t>
      </w:r>
    </w:p>
    <w:p w14:paraId="0F203F9E" w14:textId="77777777" w:rsidR="0035191C" w:rsidRDefault="00B15822">
      <w:pPr>
        <w:spacing w:after="0" w:line="259" w:lineRule="auto"/>
        <w:ind w:left="0" w:right="0" w:firstLine="0"/>
      </w:pPr>
      <w:r>
        <w:rPr>
          <w:b/>
        </w:rPr>
        <w:t xml:space="preserve"> </w:t>
      </w:r>
    </w:p>
    <w:p w14:paraId="0F203F9F" w14:textId="77777777" w:rsidR="0035191C" w:rsidRDefault="00B15822">
      <w:r>
        <w:t xml:space="preserve">The University is experiencing an increase in the number of External Examiners who are undertaking this role for the first time.  Whilst the external examiner is well qualified to examine in terms of their specialist subject knowledge, they may not have sufficient recent external examining experience. </w:t>
      </w:r>
    </w:p>
    <w:p w14:paraId="0F203FA0" w14:textId="77777777" w:rsidR="0035191C" w:rsidRDefault="00B15822">
      <w:pPr>
        <w:spacing w:after="0" w:line="259" w:lineRule="auto"/>
        <w:ind w:left="0" w:right="0" w:firstLine="0"/>
      </w:pPr>
      <w:r>
        <w:t xml:space="preserve"> </w:t>
      </w:r>
    </w:p>
    <w:p w14:paraId="0F203FA1" w14:textId="77777777" w:rsidR="0035191C" w:rsidRDefault="00B15822">
      <w:r>
        <w:t xml:space="preserve">There is a risk of limiting the opportunity for staff to become external examiners, notably in specialist areas. However, this can be mitigated by supporting an appointment through development or mentoring by an experienced external examiner.  </w:t>
      </w:r>
    </w:p>
    <w:p w14:paraId="0F203FA2" w14:textId="77777777" w:rsidR="0035191C" w:rsidRDefault="00B15822">
      <w:pPr>
        <w:spacing w:after="0" w:line="259" w:lineRule="auto"/>
        <w:ind w:left="0" w:right="0" w:firstLine="0"/>
      </w:pPr>
      <w:r>
        <w:t xml:space="preserve"> </w:t>
      </w:r>
    </w:p>
    <w:p w14:paraId="0F203FA3" w14:textId="77777777" w:rsidR="0035191C" w:rsidRDefault="00B15822">
      <w:r>
        <w:t xml:space="preserve">In many cases the new external examiner will be joining an experienced external examining team however, where the new external examiner is working in isolation, the academic unit is required to allocate a mentor to offer support and guidance in the first year of the external examiner contract on the University’s academic processes. </w:t>
      </w:r>
    </w:p>
    <w:p w14:paraId="0F203FA4" w14:textId="77777777" w:rsidR="0035191C" w:rsidRDefault="00B15822">
      <w:pPr>
        <w:spacing w:after="0" w:line="259" w:lineRule="auto"/>
        <w:ind w:left="0" w:right="0" w:firstLine="0"/>
      </w:pPr>
      <w:r>
        <w:t xml:space="preserve"> </w:t>
      </w:r>
    </w:p>
    <w:p w14:paraId="0F203FA5" w14:textId="684675FE" w:rsidR="0035191C" w:rsidRDefault="00B15822">
      <w:r>
        <w:t>The mentor must be an existing member of the UW</w:t>
      </w:r>
      <w:r w:rsidR="00F76AF8">
        <w:t xml:space="preserve"> School</w:t>
      </w:r>
      <w:r>
        <w:t xml:space="preserve">’s external examining team and ideally be linked to a similar subject although this may not always be possible. </w:t>
      </w:r>
    </w:p>
    <w:p w14:paraId="0F203FA6" w14:textId="77777777" w:rsidR="0035191C" w:rsidRDefault="00B15822">
      <w:pPr>
        <w:spacing w:after="0" w:line="259" w:lineRule="auto"/>
        <w:ind w:left="0" w:right="0" w:firstLine="0"/>
      </w:pPr>
      <w:r>
        <w:t xml:space="preserve"> </w:t>
      </w:r>
    </w:p>
    <w:p w14:paraId="0F203FA7" w14:textId="77777777" w:rsidR="0035191C" w:rsidRDefault="00B15822">
      <w:pPr>
        <w:spacing w:after="0" w:line="259" w:lineRule="auto"/>
        <w:ind w:left="0" w:right="0" w:firstLine="0"/>
      </w:pPr>
      <w:r>
        <w:t xml:space="preserve"> </w:t>
      </w:r>
    </w:p>
    <w:p w14:paraId="0F203FA8" w14:textId="77777777" w:rsidR="0035191C" w:rsidRDefault="00B15822">
      <w:pPr>
        <w:spacing w:after="0" w:line="259" w:lineRule="auto"/>
        <w:ind w:left="0" w:right="0" w:firstLine="0"/>
      </w:pPr>
      <w:r>
        <w:t xml:space="preserve"> </w:t>
      </w:r>
    </w:p>
    <w:p w14:paraId="0F203FA9" w14:textId="77777777" w:rsidR="0035191C" w:rsidRDefault="00B15822">
      <w:pPr>
        <w:pStyle w:val="Heading1"/>
        <w:ind w:left="-5" w:right="0"/>
      </w:pPr>
      <w:r>
        <w:t xml:space="preserve"> Mentor Duties </w:t>
      </w:r>
    </w:p>
    <w:p w14:paraId="0F203FAA" w14:textId="77777777" w:rsidR="0035191C" w:rsidRDefault="00B15822">
      <w:pPr>
        <w:spacing w:after="0" w:line="259" w:lineRule="auto"/>
        <w:ind w:left="0" w:right="0" w:firstLine="0"/>
      </w:pPr>
      <w:r>
        <w:t xml:space="preserve"> </w:t>
      </w:r>
    </w:p>
    <w:p w14:paraId="0F203FAB" w14:textId="77777777" w:rsidR="0035191C" w:rsidRDefault="00B15822">
      <w:pPr>
        <w:numPr>
          <w:ilvl w:val="0"/>
          <w:numId w:val="1"/>
        </w:numPr>
        <w:ind w:hanging="360"/>
      </w:pPr>
      <w:r>
        <w:t xml:space="preserve">Provide advice and guidance on relevant university external examiner processes and procedures </w:t>
      </w:r>
    </w:p>
    <w:p w14:paraId="0F203FAC" w14:textId="77777777" w:rsidR="0035191C" w:rsidRDefault="00B15822">
      <w:pPr>
        <w:numPr>
          <w:ilvl w:val="0"/>
          <w:numId w:val="1"/>
        </w:numPr>
        <w:ind w:hanging="360"/>
      </w:pPr>
      <w:r>
        <w:t xml:space="preserve">Highlight the  approaches to moderation including sampling and consistency of marking </w:t>
      </w:r>
    </w:p>
    <w:p w14:paraId="0F203FAD" w14:textId="77777777" w:rsidR="0035191C" w:rsidRDefault="00B15822">
      <w:pPr>
        <w:numPr>
          <w:ilvl w:val="0"/>
          <w:numId w:val="1"/>
        </w:numPr>
        <w:ind w:hanging="360"/>
      </w:pPr>
      <w:r>
        <w:t xml:space="preserve">Advise on the exam board  procedure and the role of the external examiner within this process </w:t>
      </w:r>
    </w:p>
    <w:p w14:paraId="0F203FAE" w14:textId="77777777" w:rsidR="0035191C" w:rsidRDefault="00B15822">
      <w:pPr>
        <w:numPr>
          <w:ilvl w:val="0"/>
          <w:numId w:val="1"/>
        </w:numPr>
        <w:ind w:hanging="360"/>
      </w:pPr>
      <w:r>
        <w:t xml:space="preserve">Provide advice and guidance on writing the annual report </w:t>
      </w:r>
    </w:p>
    <w:p w14:paraId="0F203FAF" w14:textId="77777777" w:rsidR="0035191C" w:rsidRDefault="00B15822">
      <w:pPr>
        <w:numPr>
          <w:ilvl w:val="0"/>
          <w:numId w:val="1"/>
        </w:numPr>
        <w:ind w:hanging="360"/>
      </w:pPr>
      <w:r>
        <w:t xml:space="preserve">Share current issues in HE and/or in the subject area which may be relevant  </w:t>
      </w:r>
    </w:p>
    <w:p w14:paraId="0F203FB0" w14:textId="77777777" w:rsidR="0035191C" w:rsidRDefault="00B15822">
      <w:pPr>
        <w:spacing w:after="0" w:line="259" w:lineRule="auto"/>
        <w:ind w:left="720" w:right="0" w:firstLine="0"/>
      </w:pPr>
      <w:r>
        <w:t xml:space="preserve"> </w:t>
      </w:r>
    </w:p>
    <w:p w14:paraId="0F203FB1" w14:textId="77777777" w:rsidR="0035191C" w:rsidRDefault="00B15822">
      <w:pPr>
        <w:spacing w:after="0" w:line="259" w:lineRule="auto"/>
        <w:ind w:left="0" w:right="0" w:firstLine="0"/>
      </w:pPr>
      <w:r>
        <w:t xml:space="preserve"> </w:t>
      </w:r>
    </w:p>
    <w:p w14:paraId="0F203FB2" w14:textId="77777777" w:rsidR="0035191C" w:rsidRDefault="00B15822">
      <w:pPr>
        <w:spacing w:after="0" w:line="259" w:lineRule="auto"/>
        <w:ind w:left="0" w:right="0" w:firstLine="0"/>
      </w:pPr>
      <w:r>
        <w:t xml:space="preserve"> </w:t>
      </w:r>
    </w:p>
    <w:p w14:paraId="0F203FB3" w14:textId="77777777" w:rsidR="0035191C" w:rsidRDefault="00B15822">
      <w:pPr>
        <w:spacing w:after="0" w:line="259" w:lineRule="auto"/>
        <w:ind w:left="0" w:right="0" w:firstLine="0"/>
      </w:pPr>
      <w:r>
        <w:t xml:space="preserve"> </w:t>
      </w:r>
    </w:p>
    <w:p w14:paraId="0F203FB4" w14:textId="77777777" w:rsidR="0035191C" w:rsidRDefault="00B15822">
      <w:pPr>
        <w:spacing w:after="0" w:line="259" w:lineRule="auto"/>
        <w:ind w:left="0" w:right="0" w:firstLine="0"/>
      </w:pPr>
      <w:r>
        <w:t xml:space="preserve"> </w:t>
      </w:r>
    </w:p>
    <w:p w14:paraId="0F203FB5" w14:textId="77777777" w:rsidR="0035191C" w:rsidRDefault="00B15822" w:rsidP="00B15822">
      <w:pPr>
        <w:spacing w:after="0" w:line="259" w:lineRule="auto"/>
        <w:ind w:left="0" w:right="0" w:firstLine="0"/>
      </w:pPr>
      <w:r>
        <w:rPr>
          <w:b/>
        </w:rPr>
        <w:lastRenderedPageBreak/>
        <w:t xml:space="preserve"> </w:t>
      </w:r>
    </w:p>
    <w:p w14:paraId="0F203FB6" w14:textId="77777777" w:rsidR="0035191C" w:rsidRDefault="00B15822">
      <w:pPr>
        <w:spacing w:after="0" w:line="259" w:lineRule="auto"/>
        <w:ind w:left="0" w:right="0" w:firstLine="0"/>
      </w:pPr>
      <w:r>
        <w:rPr>
          <w:b/>
        </w:rPr>
        <w:t xml:space="preserve"> </w:t>
      </w:r>
    </w:p>
    <w:p w14:paraId="0F203FB7" w14:textId="77777777" w:rsidR="0035191C" w:rsidRDefault="00B15822">
      <w:pPr>
        <w:spacing w:after="0" w:line="259" w:lineRule="auto"/>
        <w:ind w:left="0" w:right="0" w:firstLine="0"/>
      </w:pPr>
      <w:r>
        <w:rPr>
          <w:b/>
        </w:rPr>
        <w:t xml:space="preserve"> </w:t>
      </w:r>
    </w:p>
    <w:p w14:paraId="0F203FB8" w14:textId="77777777" w:rsidR="0035191C" w:rsidRDefault="00B15822">
      <w:pPr>
        <w:pStyle w:val="Heading1"/>
        <w:ind w:left="-5" w:right="0"/>
      </w:pPr>
      <w:r>
        <w:t xml:space="preserve"> Mentor Criteria  </w:t>
      </w:r>
    </w:p>
    <w:p w14:paraId="0F203FB9" w14:textId="77777777" w:rsidR="0035191C" w:rsidRDefault="00B15822">
      <w:pPr>
        <w:spacing w:after="37" w:line="259" w:lineRule="auto"/>
        <w:ind w:left="0" w:right="0" w:firstLine="0"/>
      </w:pPr>
      <w:r>
        <w:rPr>
          <w:b/>
        </w:rPr>
        <w:t xml:space="preserve"> </w:t>
      </w:r>
    </w:p>
    <w:p w14:paraId="0F203FBA" w14:textId="77777777" w:rsidR="0035191C" w:rsidRDefault="00B15822">
      <w:pPr>
        <w:numPr>
          <w:ilvl w:val="0"/>
          <w:numId w:val="2"/>
        </w:numPr>
        <w:ind w:hanging="360"/>
      </w:pPr>
      <w:r>
        <w:t xml:space="preserve">An experienced external examiner from the University’s current pool of examiners </w:t>
      </w:r>
    </w:p>
    <w:p w14:paraId="0F203FBB" w14:textId="77777777" w:rsidR="0035191C" w:rsidRDefault="00B15822">
      <w:pPr>
        <w:numPr>
          <w:ilvl w:val="0"/>
          <w:numId w:val="2"/>
        </w:numPr>
        <w:ind w:hanging="360"/>
      </w:pPr>
      <w:r>
        <w:t xml:space="preserve">They should preferably attend the same assessment board as the mentee or be from a similar subject area </w:t>
      </w:r>
    </w:p>
    <w:p w14:paraId="0F203FBC" w14:textId="77777777" w:rsidR="0035191C" w:rsidRDefault="00B15822">
      <w:pPr>
        <w:numPr>
          <w:ilvl w:val="0"/>
          <w:numId w:val="2"/>
        </w:numPr>
        <w:ind w:hanging="360"/>
      </w:pPr>
      <w:r>
        <w:t xml:space="preserve">Have recent experience of working in Higher Education </w:t>
      </w:r>
    </w:p>
    <w:p w14:paraId="0F203FBD" w14:textId="77777777" w:rsidR="0035191C" w:rsidRDefault="00B15822">
      <w:pPr>
        <w:numPr>
          <w:ilvl w:val="0"/>
          <w:numId w:val="2"/>
        </w:numPr>
        <w:ind w:hanging="360"/>
      </w:pPr>
      <w:r>
        <w:t xml:space="preserve">Participated in a least one assessment period at the University. </w:t>
      </w:r>
    </w:p>
    <w:p w14:paraId="0F203FBE" w14:textId="77777777" w:rsidR="0035191C" w:rsidRDefault="00B15822">
      <w:pPr>
        <w:numPr>
          <w:ilvl w:val="0"/>
          <w:numId w:val="2"/>
        </w:numPr>
        <w:ind w:hanging="360"/>
      </w:pPr>
      <w:r>
        <w:t xml:space="preserve">Produced at least one good quality annual report and have submitted it in a timely manner. </w:t>
      </w:r>
    </w:p>
    <w:p w14:paraId="0F203FBF" w14:textId="77777777" w:rsidR="0035191C" w:rsidRDefault="00B15822">
      <w:pPr>
        <w:spacing w:after="0" w:line="259" w:lineRule="auto"/>
        <w:ind w:left="0" w:right="0" w:firstLine="0"/>
      </w:pPr>
      <w:r>
        <w:t xml:space="preserve"> </w:t>
      </w:r>
    </w:p>
    <w:p w14:paraId="0F203FC0" w14:textId="77777777" w:rsidR="0035191C" w:rsidRDefault="00B15822">
      <w:pPr>
        <w:spacing w:after="0" w:line="259" w:lineRule="auto"/>
        <w:ind w:left="0" w:right="0" w:firstLine="0"/>
      </w:pPr>
      <w:r>
        <w:t xml:space="preserve"> </w:t>
      </w:r>
    </w:p>
    <w:p w14:paraId="0F203FC1" w14:textId="77777777" w:rsidR="0035191C" w:rsidRDefault="00B15822">
      <w:pPr>
        <w:spacing w:after="0" w:line="259" w:lineRule="auto"/>
        <w:ind w:left="0" w:right="0" w:firstLine="0"/>
      </w:pPr>
      <w:r>
        <w:t xml:space="preserve"> </w:t>
      </w:r>
    </w:p>
    <w:p w14:paraId="0F203FC2" w14:textId="77777777" w:rsidR="0035191C" w:rsidRDefault="00B15822">
      <w:pPr>
        <w:pStyle w:val="Heading1"/>
        <w:ind w:left="-5" w:right="0"/>
      </w:pPr>
      <w:r>
        <w:t xml:space="preserve">Setting up a Mentor Relationship </w:t>
      </w:r>
    </w:p>
    <w:p w14:paraId="0F203FC3" w14:textId="77777777" w:rsidR="0035191C" w:rsidRDefault="00B15822">
      <w:pPr>
        <w:spacing w:after="4" w:line="259" w:lineRule="auto"/>
        <w:ind w:left="0" w:right="0" w:firstLine="0"/>
      </w:pPr>
      <w:r>
        <w:rPr>
          <w:b/>
        </w:rPr>
        <w:t xml:space="preserve">  </w:t>
      </w:r>
      <w:r>
        <w:rPr>
          <w:b/>
        </w:rPr>
        <w:tab/>
        <w:t xml:space="preserve"> </w:t>
      </w:r>
    </w:p>
    <w:p w14:paraId="0F203FC4" w14:textId="77777777" w:rsidR="0035191C" w:rsidRDefault="00B15822">
      <w:pPr>
        <w:numPr>
          <w:ilvl w:val="0"/>
          <w:numId w:val="3"/>
        </w:numPr>
        <w:ind w:hanging="360"/>
      </w:pPr>
      <w:r>
        <w:t xml:space="preserve">The course leader to nominate mentors </w:t>
      </w:r>
    </w:p>
    <w:p w14:paraId="0F203FC5" w14:textId="77777777" w:rsidR="0035191C" w:rsidRDefault="00B15822">
      <w:pPr>
        <w:numPr>
          <w:ilvl w:val="0"/>
          <w:numId w:val="3"/>
        </w:numPr>
        <w:ind w:hanging="360"/>
      </w:pPr>
      <w:r>
        <w:t xml:space="preserve">The course leader will contact the mentor  to confirm their involvement  </w:t>
      </w:r>
    </w:p>
    <w:p w14:paraId="0F203FC6" w14:textId="77777777" w:rsidR="0035191C" w:rsidRDefault="00B15822">
      <w:pPr>
        <w:numPr>
          <w:ilvl w:val="0"/>
          <w:numId w:val="3"/>
        </w:numPr>
        <w:ind w:hanging="360"/>
      </w:pPr>
      <w:r>
        <w:t xml:space="preserve">The course leader will indicate the level of support required by the mentee </w:t>
      </w:r>
      <w:r>
        <w:rPr>
          <w:rFonts w:ascii="Segoe UI Symbol" w:eastAsia="Segoe UI Symbol" w:hAnsi="Segoe UI Symbol" w:cs="Segoe UI Symbol"/>
        </w:rPr>
        <w:t></w:t>
      </w:r>
      <w:r>
        <w:t xml:space="preserve"> The course leader will provide the mentor with the mentee’s contact details </w:t>
      </w:r>
    </w:p>
    <w:p w14:paraId="0F203FC7" w14:textId="77777777" w:rsidR="0035191C" w:rsidRDefault="00B15822">
      <w:pPr>
        <w:numPr>
          <w:ilvl w:val="0"/>
          <w:numId w:val="3"/>
        </w:numPr>
        <w:ind w:hanging="360"/>
      </w:pPr>
      <w:r>
        <w:t xml:space="preserve">The course leader may wish to provide the mentor with suggested topics for discussion </w:t>
      </w:r>
    </w:p>
    <w:p w14:paraId="0F203FC8" w14:textId="77777777" w:rsidR="0035191C" w:rsidRDefault="00B15822">
      <w:pPr>
        <w:spacing w:after="0" w:line="259" w:lineRule="auto"/>
        <w:ind w:left="360" w:right="0" w:firstLine="0"/>
      </w:pPr>
      <w:r>
        <w:t xml:space="preserve"> </w:t>
      </w:r>
    </w:p>
    <w:p w14:paraId="0F203FCA" w14:textId="30B413D0" w:rsidR="0035191C" w:rsidRDefault="00B15822">
      <w:pPr>
        <w:spacing w:after="0" w:line="259" w:lineRule="auto"/>
        <w:ind w:left="0" w:right="0" w:firstLine="0"/>
      </w:pPr>
      <w:r>
        <w:t xml:space="preserve">  </w:t>
      </w:r>
    </w:p>
    <w:p w14:paraId="0F203FCB" w14:textId="77777777" w:rsidR="0035191C" w:rsidRDefault="00B15822">
      <w:r>
        <w:t xml:space="preserve">There is no requirement for face-to-face meetings of the mentor and the mentee, other than at the time of visits to the University for the assessment board(s) (where appropriate) and it is envisaged that most contact will be via e mail, telephone etc. </w:t>
      </w:r>
    </w:p>
    <w:p w14:paraId="0F203FCC" w14:textId="77777777" w:rsidR="0035191C" w:rsidRDefault="00B15822">
      <w:pPr>
        <w:spacing w:after="0" w:line="259" w:lineRule="auto"/>
        <w:ind w:left="0" w:right="0" w:firstLine="0"/>
      </w:pPr>
      <w:r>
        <w:t xml:space="preserve">  </w:t>
      </w:r>
    </w:p>
    <w:p w14:paraId="0F203FCD" w14:textId="0768EEF4" w:rsidR="0035191C" w:rsidRDefault="00B15822">
      <w:pPr>
        <w:spacing w:after="213" w:line="301" w:lineRule="auto"/>
      </w:pPr>
      <w:r>
        <w:t xml:space="preserve">A fee of £75 is payable on completion of the mentoring duties and should be claimed </w:t>
      </w:r>
      <w:r w:rsidR="00225C14" w:rsidRPr="00225C14">
        <w:rPr>
          <w:lang w:val="en"/>
        </w:rPr>
        <w:t>via the University of Worcester’s on</w:t>
      </w:r>
      <w:bookmarkStart w:id="0" w:name="_GoBack"/>
      <w:bookmarkEnd w:id="0"/>
      <w:r w:rsidR="00225C14" w:rsidRPr="00225C14">
        <w:rPr>
          <w:lang w:val="en"/>
        </w:rPr>
        <w:t xml:space="preserve">-line expenses system </w:t>
      </w:r>
      <w:hyperlink r:id="rId8" w:history="1">
        <w:r w:rsidR="00225C14" w:rsidRPr="00225C14">
          <w:rPr>
            <w:rStyle w:val="Hyperlink"/>
            <w:bCs/>
          </w:rPr>
          <w:t>Ac</w:t>
        </w:r>
        <w:r w:rsidR="00225C14" w:rsidRPr="00225C14">
          <w:rPr>
            <w:rStyle w:val="Hyperlink"/>
            <w:bCs/>
          </w:rPr>
          <w:t>c</w:t>
        </w:r>
        <w:r w:rsidR="00225C14" w:rsidRPr="00225C14">
          <w:rPr>
            <w:rStyle w:val="Hyperlink"/>
            <w:bCs/>
          </w:rPr>
          <w:t>ess ACloud</w:t>
        </w:r>
      </w:hyperlink>
      <w:r>
        <w:t xml:space="preserve">. </w:t>
      </w:r>
    </w:p>
    <w:p w14:paraId="5FA3B8B1" w14:textId="77777777" w:rsidR="00225C14" w:rsidRDefault="00225C14">
      <w:pPr>
        <w:spacing w:after="213" w:line="301" w:lineRule="auto"/>
      </w:pPr>
    </w:p>
    <w:p w14:paraId="0F203FCE" w14:textId="77777777" w:rsidR="0035191C" w:rsidRDefault="00B15822">
      <w:pPr>
        <w:pStyle w:val="Heading1"/>
        <w:spacing w:after="113"/>
        <w:ind w:left="-5" w:right="0"/>
      </w:pPr>
      <w:r>
        <w:t xml:space="preserve">Further Information and Links </w:t>
      </w:r>
    </w:p>
    <w:p w14:paraId="0F203FCF" w14:textId="77777777" w:rsidR="0035191C" w:rsidRDefault="00B15822">
      <w:r>
        <w:t>For further information about External Examiners please see</w:t>
      </w:r>
      <w:r>
        <w:rPr>
          <w:sz w:val="22"/>
        </w:rPr>
        <w:t xml:space="preserve">: </w:t>
      </w:r>
    </w:p>
    <w:p w14:paraId="0F203FD0" w14:textId="77777777" w:rsidR="0035191C" w:rsidRDefault="00B15822">
      <w:pPr>
        <w:spacing w:after="0" w:line="259" w:lineRule="auto"/>
        <w:ind w:left="0" w:right="0" w:firstLine="0"/>
      </w:pPr>
      <w:r>
        <w:rPr>
          <w:sz w:val="22"/>
        </w:rPr>
        <w:t xml:space="preserve"> </w:t>
      </w:r>
    </w:p>
    <w:p w14:paraId="0F203FD1" w14:textId="3065531A" w:rsidR="0035191C" w:rsidRDefault="00225C14">
      <w:pPr>
        <w:spacing w:after="9"/>
        <w:ind w:left="-5" w:right="0"/>
      </w:pPr>
      <w:hyperlink r:id="rId9" w:history="1">
        <w:r w:rsidRPr="00225C14">
          <w:rPr>
            <w:rStyle w:val="Hyperlink"/>
          </w:rPr>
          <w:t>https://www2.worc.ac.uk/aqu/documents/EE-Handbook_final_Apr21.pdf</w:t>
        </w:r>
      </w:hyperlink>
      <w:r>
        <w:rPr>
          <w:color w:val="0000FF"/>
          <w:u w:val="single"/>
        </w:rPr>
        <w:t xml:space="preserve"> </w:t>
      </w:r>
    </w:p>
    <w:p w14:paraId="0F203FD2" w14:textId="77777777" w:rsidR="0035191C" w:rsidRDefault="00B15822">
      <w:pPr>
        <w:spacing w:after="0" w:line="259" w:lineRule="auto"/>
        <w:ind w:left="0" w:right="0" w:firstLine="0"/>
      </w:pPr>
      <w:r>
        <w:t xml:space="preserve"> </w:t>
      </w:r>
    </w:p>
    <w:p w14:paraId="0F203FD4" w14:textId="44489ABE" w:rsidR="0035191C" w:rsidRDefault="00225C14">
      <w:pPr>
        <w:spacing w:after="0" w:line="259" w:lineRule="auto"/>
        <w:ind w:left="0" w:right="0" w:firstLine="0"/>
      </w:pPr>
      <w:hyperlink r:id="rId10" w:history="1">
        <w:r w:rsidR="00F76AF8" w:rsidRPr="00F76AF8">
          <w:rPr>
            <w:rStyle w:val="Hyperlink"/>
          </w:rPr>
          <w:t>https://www2.worc.ac.uk/</w:t>
        </w:r>
        <w:r w:rsidR="00F76AF8" w:rsidRPr="00F76AF8">
          <w:rPr>
            <w:rStyle w:val="Hyperlink"/>
          </w:rPr>
          <w:t>a</w:t>
        </w:r>
        <w:r w:rsidR="00F76AF8" w:rsidRPr="00F76AF8">
          <w:rPr>
            <w:rStyle w:val="Hyperlink"/>
          </w:rPr>
          <w:t>qu/732.htm</w:t>
        </w:r>
      </w:hyperlink>
      <w:r>
        <w:rPr>
          <w:rStyle w:val="Hyperlink"/>
        </w:rPr>
        <w:t xml:space="preserve"> </w:t>
      </w:r>
    </w:p>
    <w:p w14:paraId="568E01DF" w14:textId="77777777" w:rsidR="00F76AF8" w:rsidRDefault="00F76AF8">
      <w:pPr>
        <w:spacing w:after="0" w:line="259" w:lineRule="auto"/>
        <w:ind w:left="0" w:right="0" w:firstLine="0"/>
      </w:pPr>
    </w:p>
    <w:p w14:paraId="0F203FD5" w14:textId="77777777" w:rsidR="00B15822" w:rsidRDefault="00225C14" w:rsidP="00B15822">
      <w:pPr>
        <w:spacing w:after="2215"/>
        <w:ind w:left="-5" w:right="0"/>
      </w:pPr>
      <w:hyperlink r:id="rId11">
        <w:r w:rsidR="00B15822">
          <w:rPr>
            <w:color w:val="0000FF"/>
            <w:u w:val="single" w:color="0000FF"/>
          </w:rPr>
          <w:t xml:space="preserve">http://www.worcester.ac.uk/registryservices/documents/Regulationsfortheappointme </w:t>
        </w:r>
      </w:hyperlink>
      <w:hyperlink r:id="rId12">
        <w:r w:rsidR="00B15822">
          <w:rPr>
            <w:color w:val="0000FF"/>
            <w:u w:val="single" w:color="0000FF"/>
          </w:rPr>
          <w:t>ntofExternalExaminers.pd</w:t>
        </w:r>
        <w:r w:rsidR="00B15822">
          <w:rPr>
            <w:color w:val="0000FF"/>
            <w:u w:val="single" w:color="0000FF"/>
          </w:rPr>
          <w:t>f</w:t>
        </w:r>
      </w:hyperlink>
      <w:hyperlink r:id="rId13">
        <w:r w:rsidR="00B15822">
          <w:t xml:space="preserve"> </w:t>
        </w:r>
      </w:hyperlink>
    </w:p>
    <w:sectPr w:rsidR="00B15822">
      <w:footerReference w:type="default" r:id="rId14"/>
      <w:pgSz w:w="11906" w:h="16838"/>
      <w:pgMar w:top="713" w:right="1383"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03FDA" w14:textId="77777777" w:rsidR="00B15822" w:rsidRDefault="00B15822" w:rsidP="00B15822">
      <w:pPr>
        <w:spacing w:after="0" w:line="240" w:lineRule="auto"/>
      </w:pPr>
      <w:r>
        <w:separator/>
      </w:r>
    </w:p>
  </w:endnote>
  <w:endnote w:type="continuationSeparator" w:id="0">
    <w:p w14:paraId="0F203FDB" w14:textId="77777777" w:rsidR="00B15822" w:rsidRDefault="00B15822" w:rsidP="00B1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CAE37" w14:textId="5493F7EF" w:rsidR="00F76AF8" w:rsidRPr="00F76AF8" w:rsidRDefault="00B15822" w:rsidP="00F76AF8">
    <w:pPr>
      <w:spacing w:after="0" w:line="259" w:lineRule="auto"/>
      <w:ind w:left="-5" w:right="0"/>
      <w:rPr>
        <w:rFonts w:ascii="Calibri" w:eastAsia="Calibri" w:hAnsi="Calibri" w:cs="Calibri"/>
        <w:sz w:val="22"/>
      </w:rPr>
    </w:pPr>
    <w:r>
      <w:rPr>
        <w:rFonts w:ascii="Calibri" w:eastAsia="Calibri" w:hAnsi="Calibri" w:cs="Calibri"/>
        <w:sz w:val="22"/>
      </w:rPr>
      <w:t>O:\AQU\</w:t>
    </w:r>
    <w:r w:rsidR="00F76AF8">
      <w:rPr>
        <w:rFonts w:ascii="Calibri" w:eastAsia="Calibri" w:hAnsi="Calibri" w:cs="Calibri"/>
        <w:sz w:val="22"/>
      </w:rPr>
      <w:t xml:space="preserve">EXTEXAM\UWMentoring Policy </w:t>
    </w:r>
    <w:r w:rsidR="00225C14">
      <w:rPr>
        <w:rFonts w:ascii="Calibri" w:eastAsia="Calibri" w:hAnsi="Calibri" w:cs="Calibri"/>
        <w:sz w:val="22"/>
      </w:rPr>
      <w:t>April21</w:t>
    </w:r>
  </w:p>
  <w:p w14:paraId="0F203FDD" w14:textId="77777777" w:rsidR="00B15822" w:rsidRDefault="00B15822">
    <w:pPr>
      <w:pStyle w:val="Footer"/>
    </w:pPr>
  </w:p>
  <w:p w14:paraId="0F203FDE" w14:textId="77777777" w:rsidR="00B15822" w:rsidRDefault="00B15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03FD8" w14:textId="77777777" w:rsidR="00B15822" w:rsidRDefault="00B15822" w:rsidP="00B15822">
      <w:pPr>
        <w:spacing w:after="0" w:line="240" w:lineRule="auto"/>
      </w:pPr>
      <w:r>
        <w:separator/>
      </w:r>
    </w:p>
  </w:footnote>
  <w:footnote w:type="continuationSeparator" w:id="0">
    <w:p w14:paraId="0F203FD9" w14:textId="77777777" w:rsidR="00B15822" w:rsidRDefault="00B15822" w:rsidP="00B15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747ED"/>
    <w:multiLevelType w:val="hybridMultilevel"/>
    <w:tmpl w:val="0E120496"/>
    <w:lvl w:ilvl="0" w:tplc="70D2C1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4E94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70CE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6AB6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1EA8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6A68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0882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6C2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7434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12D3F08"/>
    <w:multiLevelType w:val="hybridMultilevel"/>
    <w:tmpl w:val="C96825C4"/>
    <w:lvl w:ilvl="0" w:tplc="15247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68648C">
      <w:start w:val="1"/>
      <w:numFmt w:val="bullet"/>
      <w:lvlText w:val="o"/>
      <w:lvlJc w:val="left"/>
      <w:pPr>
        <w:ind w:left="1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FC54AE">
      <w:start w:val="1"/>
      <w:numFmt w:val="bullet"/>
      <w:lvlText w:val="▪"/>
      <w:lvlJc w:val="left"/>
      <w:pPr>
        <w:ind w:left="2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7CEF54">
      <w:start w:val="1"/>
      <w:numFmt w:val="bullet"/>
      <w:lvlText w:val="•"/>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02BE1A">
      <w:start w:val="1"/>
      <w:numFmt w:val="bullet"/>
      <w:lvlText w:val="o"/>
      <w:lvlJc w:val="left"/>
      <w:pPr>
        <w:ind w:left="3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86936E">
      <w:start w:val="1"/>
      <w:numFmt w:val="bullet"/>
      <w:lvlText w:val="▪"/>
      <w:lvlJc w:val="left"/>
      <w:pPr>
        <w:ind w:left="4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FE35A2">
      <w:start w:val="1"/>
      <w:numFmt w:val="bullet"/>
      <w:lvlText w:val="•"/>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4C5A76">
      <w:start w:val="1"/>
      <w:numFmt w:val="bullet"/>
      <w:lvlText w:val="o"/>
      <w:lvlJc w:val="left"/>
      <w:pPr>
        <w:ind w:left="5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5214CC">
      <w:start w:val="1"/>
      <w:numFmt w:val="bullet"/>
      <w:lvlText w:val="▪"/>
      <w:lvlJc w:val="left"/>
      <w:pPr>
        <w:ind w:left="6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DC11C44"/>
    <w:multiLevelType w:val="hybridMultilevel"/>
    <w:tmpl w:val="27B0D336"/>
    <w:lvl w:ilvl="0" w:tplc="46EEAC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8057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C625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507D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ECCE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34B4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C607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E014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3E90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91C"/>
    <w:rsid w:val="00225C14"/>
    <w:rsid w:val="0035191C"/>
    <w:rsid w:val="00723193"/>
    <w:rsid w:val="00B15822"/>
    <w:rsid w:val="00CE07FA"/>
    <w:rsid w:val="00F76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3F96"/>
  <w15:docId w15:val="{E31DB0B2-8924-4308-B7EA-EA470766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36"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40" w:right="162" w:hanging="10"/>
      <w:outlineLvl w:val="0"/>
    </w:pPr>
    <w:rPr>
      <w:rFonts w:ascii="Arial" w:eastAsia="Arial" w:hAnsi="Arial" w:cs="Arial"/>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B15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822"/>
    <w:rPr>
      <w:rFonts w:ascii="Arial" w:eastAsia="Arial" w:hAnsi="Arial" w:cs="Arial"/>
      <w:color w:val="000000"/>
      <w:sz w:val="24"/>
    </w:rPr>
  </w:style>
  <w:style w:type="paragraph" w:styleId="Footer">
    <w:name w:val="footer"/>
    <w:basedOn w:val="Normal"/>
    <w:link w:val="FooterChar"/>
    <w:uiPriority w:val="99"/>
    <w:unhideWhenUsed/>
    <w:rsid w:val="00B15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822"/>
    <w:rPr>
      <w:rFonts w:ascii="Arial" w:eastAsia="Arial" w:hAnsi="Arial" w:cs="Arial"/>
      <w:color w:val="000000"/>
      <w:sz w:val="24"/>
    </w:rPr>
  </w:style>
  <w:style w:type="character" w:styleId="Hyperlink">
    <w:name w:val="Hyperlink"/>
    <w:basedOn w:val="DefaultParagraphFont"/>
    <w:uiPriority w:val="99"/>
    <w:unhideWhenUsed/>
    <w:rsid w:val="00F76AF8"/>
    <w:rPr>
      <w:color w:val="0563C1" w:themeColor="hyperlink"/>
      <w:u w:val="single"/>
    </w:rPr>
  </w:style>
  <w:style w:type="character" w:styleId="FollowedHyperlink">
    <w:name w:val="FollowedHyperlink"/>
    <w:basedOn w:val="DefaultParagraphFont"/>
    <w:uiPriority w:val="99"/>
    <w:semiHidden/>
    <w:unhideWhenUsed/>
    <w:rsid w:val="00F76AF8"/>
    <w:rPr>
      <w:color w:val="954F72" w:themeColor="followedHyperlink"/>
      <w:u w:val="single"/>
    </w:rPr>
  </w:style>
  <w:style w:type="character" w:styleId="UnresolvedMention">
    <w:name w:val="Unresolved Mention"/>
    <w:basedOn w:val="DefaultParagraphFont"/>
    <w:uiPriority w:val="99"/>
    <w:semiHidden/>
    <w:unhideWhenUsed/>
    <w:rsid w:val="00225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o.accessacloud.com/" TargetMode="External"/><Relationship Id="rId13" Type="http://schemas.openxmlformats.org/officeDocument/2006/relationships/hyperlink" Target="http://www.worcester.ac.uk/registryservices/documents/RegulationsfortheappointmentofExternalExaminers.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worcester.ac.uk/registryservices/documents/RegulationsfortheappointmentofExternalExaminer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cester.ac.uk/registryservices/documents/RegulationsfortheappointmentofExternalExaminer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2.worc.ac.uk/aqu/732.htm" TargetMode="External"/><Relationship Id="rId4" Type="http://schemas.openxmlformats.org/officeDocument/2006/relationships/webSettings" Target="webSettings.xml"/><Relationship Id="rId9" Type="http://schemas.openxmlformats.org/officeDocument/2006/relationships/hyperlink" Target="https://www2.worc.ac.uk/aqu/documents/EE-Handbook_final_Apr2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Davies-Ward</dc:creator>
  <cp:keywords/>
  <cp:lastModifiedBy>Margaret Chaffey</cp:lastModifiedBy>
  <cp:revision>6</cp:revision>
  <cp:lastPrinted>2020-06-16T08:48:00Z</cp:lastPrinted>
  <dcterms:created xsi:type="dcterms:W3CDTF">2015-12-01T14:20:00Z</dcterms:created>
  <dcterms:modified xsi:type="dcterms:W3CDTF">2021-05-07T11:17:00Z</dcterms:modified>
</cp:coreProperties>
</file>