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9C92" w14:textId="63521841" w:rsidR="00C36D0F" w:rsidRDefault="00AD59DB">
      <w:r>
        <w:rPr>
          <w:noProof/>
        </w:rPr>
        <w:drawing>
          <wp:inline distT="0" distB="0" distL="0" distR="0" wp14:anchorId="5F795C1D" wp14:editId="2D00CC02">
            <wp:extent cx="2310774" cy="742950"/>
            <wp:effectExtent l="0" t="0" r="0" b="0"/>
            <wp:docPr id="193142663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426637" name="Picture 1" descr="A close-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14499" cy="744148"/>
                    </a:xfrm>
                    <a:prstGeom prst="rect">
                      <a:avLst/>
                    </a:prstGeom>
                  </pic:spPr>
                </pic:pic>
              </a:graphicData>
            </a:graphic>
          </wp:inline>
        </w:drawing>
      </w:r>
    </w:p>
    <w:p w14:paraId="7DEFBE37" w14:textId="77777777" w:rsidR="00AD59DB" w:rsidRDefault="00AD59DB"/>
    <w:p w14:paraId="380678EA" w14:textId="77777777" w:rsidR="00AD59DB" w:rsidRDefault="00AD59DB"/>
    <w:p w14:paraId="60F5736C" w14:textId="767DA0B9" w:rsidR="00AD59DB" w:rsidRDefault="00AD59DB" w:rsidP="00AD59DB">
      <w:pPr>
        <w:pStyle w:val="Title"/>
      </w:pPr>
      <w:r>
        <w:t>Ethical Investment Policy</w:t>
      </w:r>
    </w:p>
    <w:p w14:paraId="6DD02F3F" w14:textId="77777777" w:rsidR="00AD59DB" w:rsidRDefault="00AD59DB" w:rsidP="00AD59DB"/>
    <w:p w14:paraId="3E8D8D12" w14:textId="206BBC09" w:rsidR="00AD59DB" w:rsidRPr="00141513" w:rsidRDefault="005B7A3A" w:rsidP="00FB7373">
      <w:pPr>
        <w:pStyle w:val="Heading1"/>
        <w:rPr>
          <w:sz w:val="28"/>
          <w:szCs w:val="28"/>
        </w:rPr>
      </w:pPr>
      <w:r w:rsidRPr="00141513">
        <w:rPr>
          <w:sz w:val="28"/>
          <w:szCs w:val="28"/>
        </w:rPr>
        <w:t>1.</w:t>
      </w:r>
      <w:r w:rsidRPr="00141513">
        <w:rPr>
          <w:sz w:val="28"/>
          <w:szCs w:val="28"/>
        </w:rPr>
        <w:tab/>
        <w:t>Introduction</w:t>
      </w:r>
    </w:p>
    <w:p w14:paraId="7E91742E" w14:textId="77777777" w:rsidR="005B7A3A" w:rsidRDefault="005B7A3A" w:rsidP="00C87257">
      <w:pPr>
        <w:spacing w:before="0" w:after="5" w:line="249" w:lineRule="auto"/>
        <w:ind w:left="-5" w:hanging="10"/>
        <w:rPr>
          <w:rFonts w:ascii="Calibri" w:eastAsia="Calibri" w:hAnsi="Calibri" w:cs="Calibri"/>
          <w:color w:val="000000"/>
          <w:kern w:val="0"/>
          <w:lang w:eastAsia="en-GB"/>
          <w14:ligatures w14:val="none"/>
        </w:rPr>
      </w:pPr>
    </w:p>
    <w:p w14:paraId="4E78EA1C" w14:textId="7CE8805D" w:rsidR="00C87257" w:rsidRPr="00C87257" w:rsidRDefault="00C87257" w:rsidP="00141513">
      <w:pPr>
        <w:spacing w:before="0" w:after="5" w:line="24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The University of Worcester promotes active engagement with the community and fully accepts its broad responsibilities towards society. It promotes environmentally sustainable ways of working and living. </w:t>
      </w:r>
    </w:p>
    <w:p w14:paraId="0FBA0CD1"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p>
    <w:p w14:paraId="5D8510E9" w14:textId="77777777" w:rsidR="008A6589" w:rsidRDefault="006D1B1D" w:rsidP="00141513">
      <w:pPr>
        <w:spacing w:before="0" w:after="5" w:line="24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This Ethical Investment Policy is intended to be entirely consistent with the duty to secure maximum returns from the investment of charitable funds</w:t>
      </w:r>
      <w:r w:rsidR="00231833">
        <w:rPr>
          <w:rFonts w:ascii="Calibri" w:eastAsia="Calibri" w:hAnsi="Calibri" w:cs="Calibri"/>
          <w:color w:val="000000"/>
          <w:kern w:val="0"/>
          <w:lang w:eastAsia="en-GB"/>
          <w14:ligatures w14:val="none"/>
        </w:rPr>
        <w:t xml:space="preserve"> whilst ensuring that financially material risks are taken account of.</w:t>
      </w:r>
      <w:r w:rsidRPr="00C87257">
        <w:rPr>
          <w:rFonts w:ascii="Calibri" w:eastAsia="Calibri" w:hAnsi="Calibri" w:cs="Calibri"/>
          <w:color w:val="000000"/>
          <w:kern w:val="0"/>
          <w:lang w:eastAsia="en-GB"/>
          <w14:ligatures w14:val="none"/>
        </w:rPr>
        <w:t xml:space="preserve"> </w:t>
      </w:r>
      <w:r w:rsidR="0023444C">
        <w:rPr>
          <w:rFonts w:ascii="Calibri" w:eastAsia="Calibri" w:hAnsi="Calibri" w:cs="Calibri"/>
          <w:color w:val="000000"/>
          <w:kern w:val="0"/>
          <w:lang w:eastAsia="en-GB"/>
          <w14:ligatures w14:val="none"/>
        </w:rPr>
        <w:t xml:space="preserve">This is in line with the University’s Articles of Government which </w:t>
      </w:r>
      <w:r w:rsidR="00EF7FAB">
        <w:rPr>
          <w:rFonts w:ascii="Calibri" w:eastAsia="Calibri" w:hAnsi="Calibri" w:cs="Calibri"/>
          <w:color w:val="000000"/>
          <w:kern w:val="0"/>
          <w:lang w:eastAsia="en-GB"/>
          <w14:ligatures w14:val="none"/>
        </w:rPr>
        <w:t>places a responsibility on the Board of Governors “for the effective and efficient use of resources, the solvency of the University and the Corporation and for safeguarding of its assets.”</w:t>
      </w:r>
    </w:p>
    <w:p w14:paraId="2EE9330E" w14:textId="77777777" w:rsidR="008A6589" w:rsidRDefault="008A6589" w:rsidP="00141513">
      <w:pPr>
        <w:spacing w:before="0" w:after="5" w:line="249" w:lineRule="auto"/>
        <w:rPr>
          <w:rFonts w:ascii="Calibri" w:eastAsia="Calibri" w:hAnsi="Calibri" w:cs="Calibri"/>
          <w:color w:val="000000"/>
          <w:kern w:val="0"/>
          <w:lang w:eastAsia="en-GB"/>
          <w14:ligatures w14:val="none"/>
        </w:rPr>
      </w:pPr>
    </w:p>
    <w:p w14:paraId="2B4FD13F" w14:textId="54E6A232" w:rsidR="00A72908" w:rsidRDefault="003542BC" w:rsidP="00141513">
      <w:pPr>
        <w:spacing w:before="0" w:after="5" w:line="249" w:lineRule="auto"/>
        <w:rPr>
          <w:rFonts w:ascii="Calibri" w:eastAsia="Calibri" w:hAnsi="Calibri" w:cs="Calibri"/>
          <w:color w:val="000000"/>
          <w:kern w:val="0"/>
          <w:lang w:eastAsia="en-GB"/>
          <w14:ligatures w14:val="none"/>
        </w:rPr>
      </w:pPr>
      <w:r>
        <w:rPr>
          <w:rFonts w:ascii="Calibri" w:eastAsia="Calibri" w:hAnsi="Calibri" w:cs="Calibri"/>
          <w:color w:val="000000"/>
          <w:kern w:val="0"/>
          <w:lang w:eastAsia="en-GB"/>
          <w14:ligatures w14:val="none"/>
        </w:rPr>
        <w:t xml:space="preserve">The Ethical Investment Policy is subordinate to the University’s Treasury Management Policy and </w:t>
      </w:r>
      <w:r w:rsidR="000D69AA">
        <w:rPr>
          <w:rFonts w:ascii="Calibri" w:eastAsia="Calibri" w:hAnsi="Calibri" w:cs="Calibri"/>
          <w:color w:val="000000"/>
          <w:kern w:val="0"/>
          <w:lang w:eastAsia="en-GB"/>
          <w14:ligatures w14:val="none"/>
        </w:rPr>
        <w:t xml:space="preserve">Financial Regulations and Procedures.  </w:t>
      </w:r>
    </w:p>
    <w:p w14:paraId="739DD739" w14:textId="77777777" w:rsidR="006D1B1D" w:rsidRDefault="006D1B1D" w:rsidP="00C87257">
      <w:pPr>
        <w:spacing w:before="0" w:after="5" w:line="249" w:lineRule="auto"/>
        <w:ind w:left="-5" w:hanging="10"/>
        <w:rPr>
          <w:rFonts w:ascii="Calibri" w:eastAsia="Calibri" w:hAnsi="Calibri" w:cs="Calibri"/>
          <w:color w:val="000000"/>
          <w:kern w:val="0"/>
          <w:lang w:eastAsia="en-GB"/>
          <w14:ligatures w14:val="none"/>
        </w:rPr>
      </w:pPr>
    </w:p>
    <w:p w14:paraId="6F8A5CD4" w14:textId="77817A5C" w:rsidR="00C87257" w:rsidRPr="00C87257" w:rsidRDefault="00CA1449" w:rsidP="00141513">
      <w:pPr>
        <w:spacing w:before="0" w:after="5" w:line="249" w:lineRule="auto"/>
        <w:rPr>
          <w:rFonts w:ascii="Calibri" w:eastAsia="Calibri" w:hAnsi="Calibri" w:cs="Calibri"/>
          <w:color w:val="000000"/>
          <w:kern w:val="0"/>
          <w:lang w:eastAsia="en-GB"/>
          <w14:ligatures w14:val="none"/>
        </w:rPr>
      </w:pPr>
      <w:r>
        <w:rPr>
          <w:rFonts w:ascii="Calibri" w:eastAsia="Calibri" w:hAnsi="Calibri" w:cs="Calibri"/>
          <w:color w:val="000000"/>
          <w:kern w:val="0"/>
          <w:lang w:eastAsia="en-GB"/>
          <w14:ligatures w14:val="none"/>
        </w:rPr>
        <w:t>T</w:t>
      </w:r>
      <w:r w:rsidR="00C87257" w:rsidRPr="00C87257">
        <w:rPr>
          <w:rFonts w:ascii="Calibri" w:eastAsia="Calibri" w:hAnsi="Calibri" w:cs="Calibri"/>
          <w:color w:val="000000"/>
          <w:kern w:val="0"/>
          <w:lang w:eastAsia="en-GB"/>
          <w14:ligatures w14:val="none"/>
        </w:rPr>
        <w:t xml:space="preserve">he University does not </w:t>
      </w:r>
      <w:r>
        <w:rPr>
          <w:rFonts w:ascii="Calibri" w:eastAsia="Calibri" w:hAnsi="Calibri" w:cs="Calibri"/>
          <w:color w:val="000000"/>
          <w:kern w:val="0"/>
          <w:lang w:eastAsia="en-GB"/>
          <w14:ligatures w14:val="none"/>
        </w:rPr>
        <w:t xml:space="preserve">currently </w:t>
      </w:r>
      <w:r w:rsidR="00C87257" w:rsidRPr="00C87257">
        <w:rPr>
          <w:rFonts w:ascii="Calibri" w:eastAsia="Calibri" w:hAnsi="Calibri" w:cs="Calibri"/>
          <w:color w:val="000000"/>
          <w:kern w:val="0"/>
          <w:lang w:eastAsia="en-GB"/>
          <w14:ligatures w14:val="none"/>
        </w:rPr>
        <w:t>hold any share investments, but details of any investments in the future would be listed in the relevant Annual Report &amp; Financial Statements</w:t>
      </w:r>
      <w:r>
        <w:rPr>
          <w:rFonts w:ascii="Calibri" w:eastAsia="Calibri" w:hAnsi="Calibri" w:cs="Calibri"/>
          <w:color w:val="000000"/>
          <w:kern w:val="0"/>
          <w:lang w:eastAsia="en-GB"/>
          <w14:ligatures w14:val="none"/>
        </w:rPr>
        <w:t xml:space="preserve">, which are published on the </w:t>
      </w:r>
      <w:hyperlink r:id="rId11" w:history="1">
        <w:r w:rsidRPr="00573F48">
          <w:rPr>
            <w:rStyle w:val="Hyperlink"/>
            <w:rFonts w:ascii="Calibri" w:eastAsia="Calibri" w:hAnsi="Calibri" w:cs="Calibri"/>
            <w:kern w:val="0"/>
            <w:lang w:eastAsia="en-GB"/>
            <w14:ligatures w14:val="none"/>
          </w:rPr>
          <w:t>University’s website</w:t>
        </w:r>
      </w:hyperlink>
      <w:r>
        <w:rPr>
          <w:rFonts w:ascii="Calibri" w:eastAsia="Calibri" w:hAnsi="Calibri" w:cs="Calibri"/>
          <w:color w:val="000000"/>
          <w:kern w:val="0"/>
          <w:lang w:eastAsia="en-GB"/>
          <w14:ligatures w14:val="none"/>
        </w:rPr>
        <w:t xml:space="preserve"> </w:t>
      </w:r>
      <w:r w:rsidR="00C87257" w:rsidRPr="00C87257">
        <w:rPr>
          <w:rFonts w:ascii="Calibri" w:eastAsia="Calibri" w:hAnsi="Calibri" w:cs="Calibri"/>
          <w:color w:val="000000"/>
          <w:kern w:val="0"/>
          <w:lang w:eastAsia="en-GB"/>
          <w14:ligatures w14:val="none"/>
        </w:rPr>
        <w:t xml:space="preserve"> </w:t>
      </w:r>
    </w:p>
    <w:p w14:paraId="2A1825FB"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p>
    <w:p w14:paraId="3FD15D2C" w14:textId="3AE13C82" w:rsidR="00C87257" w:rsidRPr="00C87257" w:rsidRDefault="00C87257" w:rsidP="00141513">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The University welcome donations from alumni, corporate benefactors, and other supporters. To enable the educational purposes of donations to be achieved, the University may, from time to time, invest surplus funds and endowments with third party organisations.  </w:t>
      </w:r>
    </w:p>
    <w:p w14:paraId="5DF02458"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p>
    <w:p w14:paraId="60AF291F" w14:textId="253FD064" w:rsidR="00C87257" w:rsidRPr="00C87257" w:rsidRDefault="00C87257" w:rsidP="00141513">
      <w:pPr>
        <w:spacing w:before="0" w:after="5" w:line="24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Wherever possible and in accordance with </w:t>
      </w:r>
      <w:hyperlink r:id="rId12" w:history="1">
        <w:r w:rsidRPr="001055FA">
          <w:rPr>
            <w:rStyle w:val="Hyperlink"/>
            <w:rFonts w:ascii="Calibri" w:eastAsia="Calibri" w:hAnsi="Calibri" w:cs="Calibri"/>
            <w:kern w:val="0"/>
            <w:lang w:eastAsia="en-GB"/>
            <w14:ligatures w14:val="none"/>
          </w:rPr>
          <w:t>Charity Commission guidelines</w:t>
        </w:r>
      </w:hyperlink>
      <w:r w:rsidRPr="00C87257">
        <w:rPr>
          <w:rFonts w:ascii="Calibri" w:eastAsia="Calibri" w:hAnsi="Calibri" w:cs="Calibri"/>
          <w:color w:val="000000"/>
          <w:kern w:val="0"/>
          <w:lang w:eastAsia="en-GB"/>
          <w14:ligatures w14:val="none"/>
        </w:rPr>
        <w:t xml:space="preserve">, the University wishes to make such investments in ways that are consistent with the mission and values of the University.  </w:t>
      </w:r>
    </w:p>
    <w:p w14:paraId="3AC96C58"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039991EF" w14:textId="5E5E53DA" w:rsidR="00DA16BB" w:rsidRPr="00141513" w:rsidRDefault="00141513" w:rsidP="00141513">
      <w:pPr>
        <w:pStyle w:val="Heading1"/>
        <w:rPr>
          <w:sz w:val="28"/>
          <w:szCs w:val="28"/>
        </w:rPr>
      </w:pPr>
      <w:r w:rsidRPr="00141513">
        <w:rPr>
          <w:sz w:val="28"/>
          <w:szCs w:val="28"/>
        </w:rPr>
        <w:t>2.</w:t>
      </w:r>
      <w:r w:rsidRPr="00141513">
        <w:rPr>
          <w:sz w:val="28"/>
          <w:szCs w:val="28"/>
        </w:rPr>
        <w:tab/>
      </w:r>
      <w:r w:rsidR="00C01D51" w:rsidRPr="00141513">
        <w:rPr>
          <w:sz w:val="28"/>
          <w:szCs w:val="28"/>
        </w:rPr>
        <w:t>Responsible Investment</w:t>
      </w:r>
    </w:p>
    <w:p w14:paraId="2EF52D79" w14:textId="77777777" w:rsidR="00DA16BB" w:rsidRPr="00DA16BB" w:rsidRDefault="00DA16BB" w:rsidP="00DA16BB">
      <w:pPr>
        <w:rPr>
          <w:lang w:eastAsia="en-GB"/>
        </w:rPr>
      </w:pPr>
    </w:p>
    <w:p w14:paraId="3DE1D6D8" w14:textId="00B783FF" w:rsidR="00A90961" w:rsidRDefault="00A90961" w:rsidP="00141513">
      <w:pPr>
        <w:spacing w:before="0" w:after="5" w:line="249" w:lineRule="auto"/>
        <w:rPr>
          <w:rFonts w:ascii="Calibri" w:eastAsia="Calibri" w:hAnsi="Calibri" w:cs="Calibri"/>
          <w:color w:val="000000"/>
          <w:kern w:val="0"/>
          <w:lang w:eastAsia="en-GB"/>
          <w14:ligatures w14:val="none"/>
        </w:rPr>
      </w:pPr>
      <w:r>
        <w:rPr>
          <w:rFonts w:ascii="Calibri" w:eastAsia="Calibri" w:hAnsi="Calibri" w:cs="Calibri"/>
          <w:color w:val="000000"/>
          <w:kern w:val="0"/>
          <w:lang w:eastAsia="en-GB"/>
          <w14:ligatures w14:val="none"/>
        </w:rPr>
        <w:t>The University’s has established an Investment Committee, which reports to the Finance &amp; Development Committee, and ultimately the Board of Governors.</w:t>
      </w:r>
    </w:p>
    <w:p w14:paraId="26B056C5" w14:textId="77777777" w:rsidR="00A90961" w:rsidRDefault="00A90961" w:rsidP="003B7CB7">
      <w:pPr>
        <w:spacing w:before="0" w:after="5" w:line="249" w:lineRule="auto"/>
        <w:ind w:left="-5" w:hanging="10"/>
        <w:rPr>
          <w:rFonts w:ascii="Calibri" w:eastAsia="Calibri" w:hAnsi="Calibri" w:cs="Calibri"/>
          <w:color w:val="000000"/>
          <w:kern w:val="0"/>
          <w:lang w:eastAsia="en-GB"/>
          <w14:ligatures w14:val="none"/>
        </w:rPr>
      </w:pPr>
    </w:p>
    <w:p w14:paraId="2F4E8913" w14:textId="351D4763" w:rsidR="00A90961" w:rsidRDefault="00A90961" w:rsidP="00141513">
      <w:pPr>
        <w:spacing w:before="0" w:after="5" w:line="249" w:lineRule="auto"/>
        <w:rPr>
          <w:rFonts w:ascii="Calibri" w:eastAsia="Calibri" w:hAnsi="Calibri" w:cs="Calibri"/>
          <w:color w:val="000000"/>
          <w:kern w:val="0"/>
          <w:lang w:eastAsia="en-GB"/>
          <w14:ligatures w14:val="none"/>
        </w:rPr>
      </w:pPr>
      <w:r>
        <w:rPr>
          <w:rFonts w:ascii="Calibri" w:eastAsia="Calibri" w:hAnsi="Calibri" w:cs="Calibri"/>
          <w:color w:val="000000"/>
          <w:kern w:val="0"/>
          <w:lang w:eastAsia="en-GB"/>
          <w14:ligatures w14:val="none"/>
        </w:rPr>
        <w:t>Membership of the Committee comprises representatives of the university’s Board of Governors</w:t>
      </w:r>
      <w:r w:rsidR="00DA48B4">
        <w:rPr>
          <w:rFonts w:ascii="Calibri" w:eastAsia="Calibri" w:hAnsi="Calibri" w:cs="Calibri"/>
          <w:color w:val="000000"/>
          <w:kern w:val="0"/>
          <w:lang w:eastAsia="en-GB"/>
          <w14:ligatures w14:val="none"/>
        </w:rPr>
        <w:t>, including a student governor</w:t>
      </w:r>
      <w:r>
        <w:rPr>
          <w:rFonts w:ascii="Calibri" w:eastAsia="Calibri" w:hAnsi="Calibri" w:cs="Calibri"/>
          <w:color w:val="000000"/>
          <w:kern w:val="0"/>
          <w:lang w:eastAsia="en-GB"/>
          <w14:ligatures w14:val="none"/>
        </w:rPr>
        <w:t xml:space="preserve"> and University Executive Board</w:t>
      </w:r>
      <w:r w:rsidR="00DA48B4">
        <w:rPr>
          <w:rFonts w:ascii="Calibri" w:eastAsia="Calibri" w:hAnsi="Calibri" w:cs="Calibri"/>
          <w:color w:val="000000"/>
          <w:kern w:val="0"/>
          <w:lang w:eastAsia="en-GB"/>
          <w14:ligatures w14:val="none"/>
        </w:rPr>
        <w:t>. The Investment Committee is chaired by a</w:t>
      </w:r>
      <w:r w:rsidR="00270590">
        <w:rPr>
          <w:rFonts w:ascii="Calibri" w:eastAsia="Calibri" w:hAnsi="Calibri" w:cs="Calibri"/>
          <w:color w:val="000000"/>
          <w:kern w:val="0"/>
          <w:lang w:eastAsia="en-GB"/>
          <w14:ligatures w14:val="none"/>
        </w:rPr>
        <w:t xml:space="preserve">n </w:t>
      </w:r>
      <w:r w:rsidR="00E466F6">
        <w:rPr>
          <w:rFonts w:ascii="Calibri" w:eastAsia="Calibri" w:hAnsi="Calibri" w:cs="Calibri"/>
          <w:color w:val="000000"/>
          <w:kern w:val="0"/>
          <w:lang w:eastAsia="en-GB"/>
          <w14:ligatures w14:val="none"/>
        </w:rPr>
        <w:t>independent member of the Board of Governors.</w:t>
      </w:r>
    </w:p>
    <w:p w14:paraId="29BED142" w14:textId="77777777" w:rsidR="00141513" w:rsidRDefault="00141513" w:rsidP="00141513">
      <w:pPr>
        <w:spacing w:before="0" w:after="5" w:line="249" w:lineRule="auto"/>
        <w:rPr>
          <w:rFonts w:ascii="Calibri" w:eastAsia="Calibri" w:hAnsi="Calibri" w:cs="Calibri"/>
          <w:color w:val="000000"/>
          <w:kern w:val="0"/>
          <w:lang w:eastAsia="en-GB"/>
          <w14:ligatures w14:val="none"/>
        </w:rPr>
      </w:pPr>
    </w:p>
    <w:p w14:paraId="5C4E3CE4" w14:textId="4B0B6B14" w:rsidR="00C87257" w:rsidRPr="00C87257" w:rsidRDefault="00402012" w:rsidP="00141513">
      <w:pPr>
        <w:spacing w:before="0" w:after="5" w:line="249" w:lineRule="auto"/>
        <w:rPr>
          <w:rFonts w:ascii="Calibri" w:eastAsia="Calibri" w:hAnsi="Calibri" w:cs="Calibri"/>
          <w:color w:val="000000"/>
          <w:kern w:val="0"/>
          <w:lang w:eastAsia="en-GB"/>
          <w14:ligatures w14:val="none"/>
        </w:rPr>
      </w:pPr>
      <w:r>
        <w:rPr>
          <w:rFonts w:ascii="Calibri" w:eastAsia="Calibri" w:hAnsi="Calibri" w:cs="Calibri"/>
          <w:color w:val="000000"/>
          <w:kern w:val="0"/>
          <w:lang w:eastAsia="en-GB"/>
          <w14:ligatures w14:val="none"/>
        </w:rPr>
        <w:t>The Investment Committee</w:t>
      </w:r>
      <w:r w:rsidR="00E9154E">
        <w:rPr>
          <w:rFonts w:ascii="Calibri" w:eastAsia="Calibri" w:hAnsi="Calibri" w:cs="Calibri"/>
          <w:color w:val="000000"/>
          <w:kern w:val="0"/>
          <w:lang w:eastAsia="en-GB"/>
          <w14:ligatures w14:val="none"/>
        </w:rPr>
        <w:t xml:space="preserve"> has appointed Investment Managers to manage its investments.</w:t>
      </w:r>
      <w:r w:rsidR="00141513">
        <w:rPr>
          <w:rFonts w:ascii="Calibri" w:eastAsia="Calibri" w:hAnsi="Calibri" w:cs="Calibri"/>
          <w:color w:val="000000"/>
          <w:kern w:val="0"/>
          <w:lang w:eastAsia="en-GB"/>
          <w14:ligatures w14:val="none"/>
        </w:rPr>
        <w:t xml:space="preserve"> </w:t>
      </w:r>
      <w:r w:rsidR="00C87257" w:rsidRPr="00C87257">
        <w:rPr>
          <w:rFonts w:ascii="Calibri" w:eastAsia="Calibri" w:hAnsi="Calibri" w:cs="Calibri"/>
          <w:color w:val="000000"/>
          <w:kern w:val="0"/>
          <w:lang w:eastAsia="en-GB"/>
          <w14:ligatures w14:val="none"/>
        </w:rPr>
        <w:t xml:space="preserve">The University expects its investment managers, as part of their normal investment research and analysis process, to take account of </w:t>
      </w:r>
      <w:r w:rsidR="000B25EA">
        <w:rPr>
          <w:rFonts w:ascii="Calibri" w:eastAsia="Calibri" w:hAnsi="Calibri" w:cs="Calibri"/>
          <w:color w:val="000000"/>
          <w:kern w:val="0"/>
          <w:lang w:eastAsia="en-GB"/>
          <w14:ligatures w14:val="none"/>
        </w:rPr>
        <w:t>ESG factors (environmental, social, governance)</w:t>
      </w:r>
      <w:r w:rsidR="00C87257" w:rsidRPr="00C87257">
        <w:rPr>
          <w:rFonts w:ascii="Calibri" w:eastAsia="Calibri" w:hAnsi="Calibri" w:cs="Calibri"/>
          <w:color w:val="000000"/>
          <w:kern w:val="0"/>
          <w:lang w:eastAsia="en-GB"/>
          <w14:ligatures w14:val="none"/>
        </w:rPr>
        <w:t xml:space="preserve"> considerations in the selection, retention, and realisation of investments. The University will strive to invest in companies where the activities of the company are, on ethical grounds, consistent with the educational and/or research objectives of the University. The University will also take into account the published guidance of the Charity Commission on ethical and socially responsible investment of charitable funds. </w:t>
      </w:r>
    </w:p>
    <w:p w14:paraId="4082D743"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7688F669" w14:textId="77777777" w:rsidR="00C87257" w:rsidRPr="00C87257" w:rsidRDefault="00C87257" w:rsidP="00FB7373">
      <w:pPr>
        <w:spacing w:before="0" w:after="5" w:line="24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The University will not knowingly invest in companies whose activities include practices which directly pose a risk of serious harm to individuals or groups, or whose activities are inconsistent with the mission and values of the University.  </w:t>
      </w:r>
    </w:p>
    <w:p w14:paraId="7F620883"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p>
    <w:p w14:paraId="6EED78DB" w14:textId="77777777" w:rsidR="00C87257" w:rsidRPr="00C87257" w:rsidRDefault="00C87257" w:rsidP="00FB7373">
      <w:pPr>
        <w:spacing w:before="0" w:after="5" w:line="249" w:lineRule="auto"/>
        <w:rPr>
          <w:rFonts w:ascii="Calibri" w:eastAsia="Calibri" w:hAnsi="Calibri" w:cs="Calibri"/>
          <w:kern w:val="0"/>
          <w:lang w:eastAsia="en-GB"/>
          <w14:ligatures w14:val="none"/>
        </w:rPr>
      </w:pPr>
      <w:r w:rsidRPr="00C87257">
        <w:rPr>
          <w:rFonts w:ascii="Calibri" w:eastAsia="Calibri" w:hAnsi="Calibri" w:cs="Calibri"/>
          <w:kern w:val="0"/>
          <w:lang w:eastAsia="en-GB"/>
          <w14:ligatures w14:val="none"/>
        </w:rPr>
        <w:t xml:space="preserve">Specifically, The University will not directly invest in: </w:t>
      </w:r>
    </w:p>
    <w:p w14:paraId="27425FB9" w14:textId="77777777" w:rsidR="00C87257" w:rsidRPr="00C87257" w:rsidRDefault="00C87257" w:rsidP="00C87257">
      <w:pPr>
        <w:numPr>
          <w:ilvl w:val="0"/>
          <w:numId w:val="2"/>
        </w:numPr>
        <w:spacing w:before="0" w:after="5" w:line="249" w:lineRule="auto"/>
        <w:contextualSpacing/>
        <w:rPr>
          <w:rFonts w:ascii="Calibri" w:eastAsia="Calibri" w:hAnsi="Calibri" w:cs="Calibri"/>
          <w:kern w:val="0"/>
          <w:lang w:eastAsia="en-GB"/>
          <w14:ligatures w14:val="none"/>
        </w:rPr>
      </w:pPr>
      <w:r w:rsidRPr="00C87257">
        <w:rPr>
          <w:rFonts w:ascii="Calibri" w:eastAsia="Calibri" w:hAnsi="Calibri" w:cs="Calibri"/>
          <w:kern w:val="0"/>
          <w:lang w:eastAsia="en-GB"/>
          <w14:ligatures w14:val="none"/>
        </w:rPr>
        <w:t>Fossil fuel companies</w:t>
      </w:r>
    </w:p>
    <w:p w14:paraId="385F00EB" w14:textId="77777777" w:rsidR="00C87257" w:rsidRPr="00C87257" w:rsidRDefault="00C87257" w:rsidP="00C87257">
      <w:pPr>
        <w:numPr>
          <w:ilvl w:val="0"/>
          <w:numId w:val="2"/>
        </w:numPr>
        <w:spacing w:before="0" w:after="5" w:line="249" w:lineRule="auto"/>
        <w:contextualSpacing/>
        <w:rPr>
          <w:rFonts w:ascii="Calibri" w:eastAsia="Calibri" w:hAnsi="Calibri" w:cs="Calibri"/>
          <w:kern w:val="0"/>
          <w:lang w:eastAsia="en-GB"/>
          <w14:ligatures w14:val="none"/>
        </w:rPr>
      </w:pPr>
      <w:r w:rsidRPr="00C87257">
        <w:rPr>
          <w:rFonts w:ascii="Calibri" w:eastAsia="Calibri" w:hAnsi="Calibri" w:cs="Calibri"/>
          <w:kern w:val="0"/>
          <w:lang w:eastAsia="en-GB"/>
          <w14:ligatures w14:val="none"/>
        </w:rPr>
        <w:t>Arms Companies</w:t>
      </w:r>
    </w:p>
    <w:p w14:paraId="2FB30081" w14:textId="77777777" w:rsidR="00C87257" w:rsidRPr="00C87257" w:rsidRDefault="00C87257" w:rsidP="00C87257">
      <w:pPr>
        <w:numPr>
          <w:ilvl w:val="0"/>
          <w:numId w:val="2"/>
        </w:numPr>
        <w:spacing w:before="0" w:after="5" w:line="249" w:lineRule="auto"/>
        <w:contextualSpacing/>
        <w:rPr>
          <w:rFonts w:ascii="Calibri" w:eastAsia="Calibri" w:hAnsi="Calibri" w:cs="Calibri"/>
          <w:kern w:val="0"/>
          <w:lang w:eastAsia="en-GB"/>
          <w14:ligatures w14:val="none"/>
        </w:rPr>
      </w:pPr>
      <w:r w:rsidRPr="00C87257">
        <w:rPr>
          <w:rFonts w:ascii="Calibri" w:eastAsia="Calibri" w:hAnsi="Calibri" w:cs="Calibri"/>
          <w:kern w:val="0"/>
          <w:lang w:eastAsia="en-GB"/>
          <w14:ligatures w14:val="none"/>
        </w:rPr>
        <w:t>Border Industry Companies</w:t>
      </w:r>
    </w:p>
    <w:p w14:paraId="01271322" w14:textId="77777777" w:rsidR="00C87257" w:rsidRPr="00C87257" w:rsidRDefault="00C87257" w:rsidP="00C87257">
      <w:pPr>
        <w:numPr>
          <w:ilvl w:val="0"/>
          <w:numId w:val="2"/>
        </w:numPr>
        <w:spacing w:before="0" w:after="5" w:line="249" w:lineRule="auto"/>
        <w:contextualSpacing/>
        <w:rPr>
          <w:rFonts w:ascii="Calibri" w:eastAsia="Calibri" w:hAnsi="Calibri" w:cs="Calibri"/>
          <w:kern w:val="0"/>
          <w:lang w:eastAsia="en-GB"/>
          <w14:ligatures w14:val="none"/>
        </w:rPr>
      </w:pPr>
      <w:r w:rsidRPr="00C87257">
        <w:rPr>
          <w:rFonts w:ascii="Calibri" w:eastAsia="Calibri" w:hAnsi="Calibri" w:cs="Calibri"/>
          <w:kern w:val="0"/>
          <w:lang w:eastAsia="en-GB"/>
          <w14:ligatures w14:val="none"/>
        </w:rPr>
        <w:t>Companies in Violation of International Law</w:t>
      </w:r>
    </w:p>
    <w:p w14:paraId="5315B0A7"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601E1013" w14:textId="41429EE4" w:rsidR="00C87257" w:rsidRPr="00C87257" w:rsidRDefault="00C87257" w:rsidP="00FB7373">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Regarding investments in Energy, the University of Worcester does not currently have any</w:t>
      </w:r>
      <w:r w:rsidR="00FB7373">
        <w:rPr>
          <w:rFonts w:ascii="Calibri" w:eastAsia="Calibri" w:hAnsi="Calibri" w:cs="Calibri"/>
          <w:color w:val="000000"/>
          <w:kern w:val="0"/>
          <w:lang w:eastAsia="en-GB"/>
          <w14:ligatures w14:val="none"/>
        </w:rPr>
        <w:t xml:space="preserve"> </w:t>
      </w:r>
      <w:r w:rsidRPr="00C87257">
        <w:rPr>
          <w:rFonts w:ascii="Calibri" w:eastAsia="Calibri" w:hAnsi="Calibri" w:cs="Calibri"/>
          <w:color w:val="000000"/>
          <w:kern w:val="0"/>
          <w:lang w:eastAsia="en-GB"/>
          <w14:ligatures w14:val="none"/>
        </w:rPr>
        <w:t>shareholdings. Any future direct Energy investments would tend to be focused on: Renewables, Low</w:t>
      </w:r>
      <w:r w:rsidR="00141513">
        <w:rPr>
          <w:rFonts w:ascii="Calibri" w:eastAsia="Calibri" w:hAnsi="Calibri" w:cs="Calibri"/>
          <w:color w:val="000000"/>
          <w:kern w:val="0"/>
          <w:lang w:eastAsia="en-GB"/>
          <w14:ligatures w14:val="none"/>
        </w:rPr>
        <w:t xml:space="preserve"> </w:t>
      </w:r>
      <w:r w:rsidRPr="00C87257">
        <w:rPr>
          <w:rFonts w:ascii="Calibri" w:eastAsia="Calibri" w:hAnsi="Calibri" w:cs="Calibri"/>
          <w:color w:val="000000"/>
          <w:kern w:val="0"/>
          <w:lang w:eastAsia="en-GB"/>
          <w14:ligatures w14:val="none"/>
        </w:rPr>
        <w:t>Carbon Technologies, or Renewable energy projects on campus.</w:t>
      </w:r>
      <w:r w:rsidRPr="00C87257">
        <w:rPr>
          <w:rFonts w:ascii="Calibri" w:eastAsia="Calibri" w:hAnsi="Calibri" w:cs="Calibri"/>
          <w:color w:val="000000"/>
          <w:kern w:val="0"/>
          <w:lang w:eastAsia="en-GB"/>
          <w14:ligatures w14:val="none"/>
        </w:rPr>
        <w:cr/>
      </w:r>
    </w:p>
    <w:p w14:paraId="7C5B9459" w14:textId="378F9E66" w:rsidR="00C87257" w:rsidRPr="00141513" w:rsidRDefault="00141513" w:rsidP="00C01D51">
      <w:pPr>
        <w:pStyle w:val="Heading1"/>
        <w:rPr>
          <w:rFonts w:eastAsia="Calibri"/>
          <w:sz w:val="28"/>
          <w:szCs w:val="28"/>
          <w:lang w:eastAsia="en-GB"/>
        </w:rPr>
      </w:pPr>
      <w:r w:rsidRPr="00141513">
        <w:rPr>
          <w:rFonts w:eastAsia="Calibri"/>
          <w:sz w:val="28"/>
          <w:szCs w:val="28"/>
          <w:lang w:eastAsia="en-GB"/>
        </w:rPr>
        <w:t>3.</w:t>
      </w:r>
      <w:r w:rsidRPr="00141513">
        <w:rPr>
          <w:rFonts w:eastAsia="Calibri"/>
          <w:sz w:val="28"/>
          <w:szCs w:val="28"/>
          <w:lang w:eastAsia="en-GB"/>
        </w:rPr>
        <w:tab/>
      </w:r>
      <w:r w:rsidR="00C01D51" w:rsidRPr="00141513">
        <w:rPr>
          <w:rFonts w:eastAsia="Calibri"/>
          <w:sz w:val="28"/>
          <w:szCs w:val="28"/>
          <w:lang w:eastAsia="en-GB"/>
        </w:rPr>
        <w:t>Management of Investments</w:t>
      </w:r>
    </w:p>
    <w:p w14:paraId="6057064D"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p>
    <w:p w14:paraId="0599AE70"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In order to give effect to its commitment to this policy the University will:  </w:t>
      </w:r>
    </w:p>
    <w:p w14:paraId="73C5B8D4"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03509B6C" w14:textId="77777777" w:rsidR="00C87257" w:rsidRPr="00C87257" w:rsidRDefault="00C87257" w:rsidP="00C87257">
      <w:pPr>
        <w:numPr>
          <w:ilvl w:val="0"/>
          <w:numId w:val="1"/>
        </w:numPr>
        <w:spacing w:before="0" w:after="5" w:line="249" w:lineRule="auto"/>
        <w:ind w:hanging="161"/>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monitor and review the University’s investments annually to ensure that ethical standards are maintained;  </w:t>
      </w:r>
    </w:p>
    <w:p w14:paraId="46674232" w14:textId="77777777" w:rsidR="00C87257" w:rsidRPr="00C87257" w:rsidRDefault="00C87257" w:rsidP="00C87257">
      <w:pPr>
        <w:numPr>
          <w:ilvl w:val="0"/>
          <w:numId w:val="1"/>
        </w:numPr>
        <w:spacing w:before="0" w:after="5" w:line="249" w:lineRule="auto"/>
        <w:ind w:hanging="161"/>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seek investment opportunities with companies and organisations which have demonstrated a positive record of ethical performance;  </w:t>
      </w:r>
    </w:p>
    <w:p w14:paraId="02634858" w14:textId="77777777" w:rsidR="00C87257" w:rsidRPr="00C87257" w:rsidRDefault="00C87257" w:rsidP="00C87257">
      <w:pPr>
        <w:numPr>
          <w:ilvl w:val="0"/>
          <w:numId w:val="1"/>
        </w:numPr>
        <w:spacing w:before="0" w:after="5" w:line="249" w:lineRule="auto"/>
        <w:ind w:hanging="161"/>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not engage in any investment with companies which have demonstrated a negative record of ethical performance and/or withdraw from engagement with companies should their ethical performance decline;  </w:t>
      </w:r>
    </w:p>
    <w:p w14:paraId="35DB09B9" w14:textId="77777777" w:rsidR="00C87257" w:rsidRPr="00C87257" w:rsidRDefault="00C87257" w:rsidP="00C87257">
      <w:pPr>
        <w:numPr>
          <w:ilvl w:val="0"/>
          <w:numId w:val="1"/>
        </w:numPr>
        <w:spacing w:before="0" w:after="5" w:line="249" w:lineRule="auto"/>
        <w:ind w:hanging="161"/>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engage with companies in which it considers investing, and where appropriate use its influence to encourage ethical standards, practices and lines of business acceptable to the University;  </w:t>
      </w:r>
    </w:p>
    <w:p w14:paraId="2F10C910" w14:textId="77777777" w:rsidR="00C87257" w:rsidRPr="00C87257" w:rsidRDefault="00C87257" w:rsidP="00C87257">
      <w:pPr>
        <w:numPr>
          <w:ilvl w:val="0"/>
          <w:numId w:val="1"/>
        </w:numPr>
        <w:spacing w:before="0" w:after="5" w:line="249" w:lineRule="auto"/>
        <w:ind w:hanging="161"/>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issue guidance for fund managers responsible for the University’s investments  </w:t>
      </w:r>
    </w:p>
    <w:p w14:paraId="31FE46E7"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02F2C877"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Where appropriate, the University would expect the issues raised with fund managers to include the following:  </w:t>
      </w:r>
    </w:p>
    <w:p w14:paraId="370127B7"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425D70F3"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Environment - The quality of their environmental management, policies and reporting, their efficient use of resources and any pollution convictions that they may have.  </w:t>
      </w:r>
    </w:p>
    <w:p w14:paraId="15C2E01D"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701C7719"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Overseas Operations - Their policies towards human rights, the nature of any operations in the third world and their observance of labour standards. Also, their marketing techniques, supply chain management and the quality of internal controls.  </w:t>
      </w:r>
    </w:p>
    <w:p w14:paraId="0F11EDA0"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3DD5CA33"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Workplace - Their approaches to equal opportunities, training, health and safety and employee welfare.  </w:t>
      </w:r>
    </w:p>
    <w:p w14:paraId="4DBACD69"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1267088B"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Product/Service - The effect of the manufacture and sale of their products and services on public health and safety. The significance and benefits of any positive products and services.  </w:t>
      </w:r>
    </w:p>
    <w:p w14:paraId="15BF7658"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6D2BCA22"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Community - Their involvement and impact in local communities both in the UK and overseas, the extent and nature of charitable donations and the significance of any advertising complaints.  </w:t>
      </w:r>
    </w:p>
    <w:p w14:paraId="43F67516" w14:textId="77777777" w:rsidR="00C87257" w:rsidRP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60F694D9" w14:textId="77777777" w:rsidR="00C87257" w:rsidRPr="00C87257" w:rsidRDefault="00C87257" w:rsidP="00C87257">
      <w:pPr>
        <w:spacing w:before="0" w:after="5" w:line="249" w:lineRule="auto"/>
        <w:ind w:left="-5" w:hanging="10"/>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Political Activity - The extent to which they donate money and/or services to local, national and international political bodies. The extent of any lobbying activity and membership of lobby groups.  </w:t>
      </w:r>
    </w:p>
    <w:p w14:paraId="6EB92A16" w14:textId="77777777" w:rsidR="00C87257" w:rsidRDefault="00C87257" w:rsidP="00C87257">
      <w:pPr>
        <w:spacing w:before="0" w:line="259" w:lineRule="auto"/>
        <w:rPr>
          <w:rFonts w:ascii="Calibri" w:eastAsia="Calibri" w:hAnsi="Calibri" w:cs="Calibri"/>
          <w:color w:val="000000"/>
          <w:kern w:val="0"/>
          <w:lang w:eastAsia="en-GB"/>
          <w14:ligatures w14:val="none"/>
        </w:rPr>
      </w:pPr>
      <w:r w:rsidRPr="00C87257">
        <w:rPr>
          <w:rFonts w:ascii="Calibri" w:eastAsia="Calibri" w:hAnsi="Calibri" w:cs="Calibri"/>
          <w:color w:val="000000"/>
          <w:kern w:val="0"/>
          <w:lang w:eastAsia="en-GB"/>
          <w14:ligatures w14:val="none"/>
        </w:rPr>
        <w:t xml:space="preserve"> </w:t>
      </w:r>
    </w:p>
    <w:p w14:paraId="139D4FE3" w14:textId="77777777" w:rsidR="00A73D56" w:rsidRDefault="00A73D56" w:rsidP="00A73D56">
      <w:pPr>
        <w:pStyle w:val="Heading1"/>
        <w:rPr>
          <w:rFonts w:eastAsia="Calibri"/>
          <w:sz w:val="28"/>
          <w:szCs w:val="28"/>
          <w:lang w:eastAsia="en-GB"/>
        </w:rPr>
      </w:pPr>
      <w:r>
        <w:rPr>
          <w:rFonts w:eastAsia="Calibri"/>
          <w:sz w:val="28"/>
          <w:szCs w:val="28"/>
          <w:lang w:eastAsia="en-GB"/>
        </w:rPr>
        <w:t>4.</w:t>
      </w:r>
      <w:r>
        <w:rPr>
          <w:rFonts w:eastAsia="Calibri"/>
          <w:sz w:val="28"/>
          <w:szCs w:val="28"/>
          <w:lang w:eastAsia="en-GB"/>
        </w:rPr>
        <w:tab/>
        <w:t>Policy Responsibility</w:t>
      </w:r>
    </w:p>
    <w:p w14:paraId="150E7B94" w14:textId="77777777" w:rsidR="00A73D56" w:rsidRDefault="00A73D56" w:rsidP="00A73D56">
      <w:pPr>
        <w:rPr>
          <w:lang w:eastAsia="en-GB"/>
        </w:rPr>
      </w:pPr>
    </w:p>
    <w:p w14:paraId="67A79483" w14:textId="77777777" w:rsidR="00A73D56" w:rsidRDefault="00A73D56" w:rsidP="00A73D56">
      <w:pPr>
        <w:rPr>
          <w:lang w:eastAsia="en-GB"/>
        </w:rPr>
      </w:pPr>
      <w:r>
        <w:rPr>
          <w:lang w:eastAsia="en-GB"/>
        </w:rPr>
        <w:t xml:space="preserve">This policy is approved by the Board of Governors and implemented, on behalf of the Board of Governors, by the Investment Committee, a sub-committee of Finance &amp; Development Committee.  </w:t>
      </w:r>
    </w:p>
    <w:p w14:paraId="22F944D3" w14:textId="77777777" w:rsidR="00A73D56" w:rsidRDefault="00A73D56" w:rsidP="00A73D56">
      <w:pPr>
        <w:pStyle w:val="Heading1"/>
        <w:rPr>
          <w:rFonts w:eastAsia="Calibri"/>
          <w:sz w:val="28"/>
          <w:szCs w:val="28"/>
          <w:lang w:eastAsia="en-GB"/>
        </w:rPr>
      </w:pPr>
      <w:r>
        <w:rPr>
          <w:rFonts w:eastAsia="Calibri"/>
          <w:sz w:val="28"/>
          <w:szCs w:val="28"/>
          <w:lang w:eastAsia="en-GB"/>
        </w:rPr>
        <w:t>5.</w:t>
      </w:r>
      <w:r>
        <w:rPr>
          <w:rFonts w:eastAsia="Calibri"/>
          <w:sz w:val="28"/>
          <w:szCs w:val="28"/>
          <w:lang w:eastAsia="en-GB"/>
        </w:rPr>
        <w:tab/>
        <w:t>Review</w:t>
      </w:r>
    </w:p>
    <w:p w14:paraId="4FD22752" w14:textId="77777777" w:rsidR="00A73D56" w:rsidRDefault="00A73D56" w:rsidP="00A73D56">
      <w:pPr>
        <w:rPr>
          <w:lang w:eastAsia="en-GB"/>
        </w:rPr>
      </w:pPr>
    </w:p>
    <w:p w14:paraId="4C3B585E" w14:textId="77777777" w:rsidR="00A73D56" w:rsidRDefault="00A73D56" w:rsidP="00A73D56">
      <w:pPr>
        <w:spacing w:before="0" w:line="256" w:lineRule="auto"/>
        <w:rPr>
          <w:lang w:eastAsia="en-GB"/>
        </w:rPr>
      </w:pPr>
      <w:r>
        <w:rPr>
          <w:lang w:eastAsia="en-GB"/>
        </w:rPr>
        <w:t>The Investment Committee will review the Investment Policy on every three years in line with University guidance.</w:t>
      </w:r>
    </w:p>
    <w:p w14:paraId="1BB9F75A" w14:textId="77777777" w:rsidR="00A73D56" w:rsidRDefault="00A73D56" w:rsidP="00A73D56">
      <w:pPr>
        <w:spacing w:before="0" w:line="256" w:lineRule="auto"/>
        <w:rPr>
          <w:lang w:eastAsia="en-GB"/>
        </w:rPr>
      </w:pPr>
    </w:p>
    <w:p w14:paraId="17D60E37" w14:textId="77777777" w:rsidR="00A73D56" w:rsidRPr="00C87257" w:rsidRDefault="00A73D56" w:rsidP="00C87257">
      <w:pPr>
        <w:spacing w:before="0" w:line="259" w:lineRule="auto"/>
        <w:rPr>
          <w:rFonts w:ascii="Calibri" w:eastAsia="Calibri" w:hAnsi="Calibri" w:cs="Calibri"/>
          <w:color w:val="000000"/>
          <w:kern w:val="0"/>
          <w:lang w:eastAsia="en-GB"/>
          <w14:ligatures w14:val="none"/>
        </w:rPr>
      </w:pPr>
    </w:p>
    <w:p w14:paraId="5358B52C" w14:textId="24E7C404" w:rsidR="00C87257" w:rsidRPr="00C87257" w:rsidRDefault="00C87257" w:rsidP="00C87257">
      <w:pPr>
        <w:spacing w:before="0" w:line="259" w:lineRule="auto"/>
        <w:rPr>
          <w:rFonts w:ascii="Calibri" w:eastAsia="Calibri" w:hAnsi="Calibri" w:cs="Calibri"/>
          <w:color w:val="000000"/>
          <w:kern w:val="0"/>
          <w:lang w:eastAsia="en-GB"/>
          <w14:ligatures w14:val="none"/>
        </w:rPr>
      </w:pPr>
    </w:p>
    <w:tbl>
      <w:tblPr>
        <w:tblStyle w:val="TableGrid"/>
        <w:tblW w:w="0" w:type="auto"/>
        <w:tblLook w:val="04A0" w:firstRow="1" w:lastRow="0" w:firstColumn="1" w:lastColumn="0" w:noHBand="0" w:noVBand="1"/>
      </w:tblPr>
      <w:tblGrid>
        <w:gridCol w:w="2405"/>
        <w:gridCol w:w="6611"/>
      </w:tblGrid>
      <w:tr w:rsidR="00C87257" w14:paraId="2E1E32C2" w14:textId="77777777" w:rsidTr="00C87257">
        <w:tc>
          <w:tcPr>
            <w:tcW w:w="2405" w:type="dxa"/>
          </w:tcPr>
          <w:p w14:paraId="6777B5BA" w14:textId="2DD3B46E" w:rsidR="00C87257" w:rsidRDefault="00C87257" w:rsidP="00AD59DB">
            <w:r>
              <w:t>Owner</w:t>
            </w:r>
          </w:p>
        </w:tc>
        <w:tc>
          <w:tcPr>
            <w:tcW w:w="6611" w:type="dxa"/>
          </w:tcPr>
          <w:p w14:paraId="768381F9" w14:textId="609F7679" w:rsidR="00C87257" w:rsidRDefault="00C87257" w:rsidP="00AD59DB">
            <w:r>
              <w:t>PVC Finance and Resources</w:t>
            </w:r>
          </w:p>
        </w:tc>
      </w:tr>
      <w:tr w:rsidR="00C87257" w14:paraId="2D46DF95" w14:textId="77777777" w:rsidTr="00C87257">
        <w:tc>
          <w:tcPr>
            <w:tcW w:w="2405" w:type="dxa"/>
          </w:tcPr>
          <w:p w14:paraId="578DF559" w14:textId="7C0154E3" w:rsidR="00C87257" w:rsidRDefault="00C87257" w:rsidP="00AD59DB">
            <w:r>
              <w:t>Approved</w:t>
            </w:r>
          </w:p>
        </w:tc>
        <w:tc>
          <w:tcPr>
            <w:tcW w:w="6611" w:type="dxa"/>
          </w:tcPr>
          <w:p w14:paraId="7C0A2BFF" w14:textId="01040422" w:rsidR="00C87257" w:rsidRDefault="00C87257" w:rsidP="00AD59DB">
            <w:r>
              <w:t>Ju</w:t>
            </w:r>
            <w:r w:rsidR="00AA503D">
              <w:t>ly 2022, updated July 2023</w:t>
            </w:r>
            <w:r w:rsidR="00982E3E">
              <w:t xml:space="preserve">, updated </w:t>
            </w:r>
            <w:r w:rsidR="00A33F7F">
              <w:t>May</w:t>
            </w:r>
            <w:r w:rsidR="00982E3E">
              <w:t xml:space="preserve"> 2024</w:t>
            </w:r>
          </w:p>
        </w:tc>
      </w:tr>
      <w:tr w:rsidR="00C87257" w14:paraId="7EDB850C" w14:textId="77777777" w:rsidTr="00C87257">
        <w:tc>
          <w:tcPr>
            <w:tcW w:w="2405" w:type="dxa"/>
          </w:tcPr>
          <w:p w14:paraId="12FC1A0B" w14:textId="7927B031" w:rsidR="00C87257" w:rsidRDefault="00AA503D" w:rsidP="00AD59DB">
            <w:r>
              <w:t>Approved by</w:t>
            </w:r>
          </w:p>
        </w:tc>
        <w:tc>
          <w:tcPr>
            <w:tcW w:w="6611" w:type="dxa"/>
          </w:tcPr>
          <w:p w14:paraId="6C7FD356" w14:textId="121F46F3" w:rsidR="00C87257" w:rsidRDefault="00CF6A5A" w:rsidP="00AD59DB">
            <w:r>
              <w:t>Board of Governors, upon recommendation from the Investment Committee</w:t>
            </w:r>
          </w:p>
        </w:tc>
      </w:tr>
      <w:tr w:rsidR="00C87257" w14:paraId="4968BAFD" w14:textId="77777777" w:rsidTr="00C87257">
        <w:tc>
          <w:tcPr>
            <w:tcW w:w="2405" w:type="dxa"/>
          </w:tcPr>
          <w:p w14:paraId="468C1279" w14:textId="0BF7C0E0" w:rsidR="00C87257" w:rsidRDefault="00AA503D" w:rsidP="00AD59DB">
            <w:r>
              <w:t>Review date</w:t>
            </w:r>
          </w:p>
        </w:tc>
        <w:tc>
          <w:tcPr>
            <w:tcW w:w="6611" w:type="dxa"/>
          </w:tcPr>
          <w:p w14:paraId="06AD8234" w14:textId="02E02A61" w:rsidR="00C87257" w:rsidRDefault="00AA503D" w:rsidP="00AD59DB">
            <w:r>
              <w:t xml:space="preserve">July </w:t>
            </w:r>
            <w:r w:rsidR="00982E3E">
              <w:t>202</w:t>
            </w:r>
            <w:r w:rsidR="00A73D56">
              <w:t>7</w:t>
            </w:r>
          </w:p>
        </w:tc>
      </w:tr>
    </w:tbl>
    <w:p w14:paraId="116C78E7" w14:textId="77777777" w:rsidR="00AD59DB" w:rsidRPr="00AD59DB" w:rsidRDefault="00AD59DB" w:rsidP="00AD59DB"/>
    <w:sectPr w:rsidR="00AD59DB" w:rsidRPr="00AD59D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79AC" w14:textId="77777777" w:rsidR="001D2E8E" w:rsidRDefault="001D2E8E" w:rsidP="00FB7373">
      <w:pPr>
        <w:spacing w:before="0"/>
      </w:pPr>
      <w:r>
        <w:separator/>
      </w:r>
    </w:p>
  </w:endnote>
  <w:endnote w:type="continuationSeparator" w:id="0">
    <w:p w14:paraId="2CAF73AD" w14:textId="77777777" w:rsidR="001D2E8E" w:rsidRDefault="001D2E8E" w:rsidP="00FB73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11863"/>
      <w:docPartObj>
        <w:docPartGallery w:val="Page Numbers (Bottom of Page)"/>
        <w:docPartUnique/>
      </w:docPartObj>
    </w:sdtPr>
    <w:sdtEndPr>
      <w:rPr>
        <w:noProof/>
      </w:rPr>
    </w:sdtEndPr>
    <w:sdtContent>
      <w:p w14:paraId="12CBD306" w14:textId="0F851342" w:rsidR="00FB7373" w:rsidRDefault="00FB73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95D5C" w14:textId="77777777" w:rsidR="00FB7373" w:rsidRDefault="00FB7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1EC7" w14:textId="77777777" w:rsidR="001D2E8E" w:rsidRDefault="001D2E8E" w:rsidP="00FB7373">
      <w:pPr>
        <w:spacing w:before="0"/>
      </w:pPr>
      <w:r>
        <w:separator/>
      </w:r>
    </w:p>
  </w:footnote>
  <w:footnote w:type="continuationSeparator" w:id="0">
    <w:p w14:paraId="116FA643" w14:textId="77777777" w:rsidR="001D2E8E" w:rsidRDefault="001D2E8E" w:rsidP="00FB737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F3C9" w14:textId="7AF4A298" w:rsidR="00F32F79" w:rsidRDefault="00F32F79">
    <w:pPr>
      <w:pStyle w:val="Header"/>
    </w:pPr>
    <w:r>
      <w:tab/>
    </w:r>
    <w:r>
      <w:tab/>
    </w:r>
  </w:p>
  <w:p w14:paraId="23B399AD" w14:textId="77777777" w:rsidR="00F32F79" w:rsidRDefault="00F32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35FA"/>
    <w:multiLevelType w:val="hybridMultilevel"/>
    <w:tmpl w:val="2B74561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64AE3915"/>
    <w:multiLevelType w:val="hybridMultilevel"/>
    <w:tmpl w:val="4606AD30"/>
    <w:lvl w:ilvl="0" w:tplc="7C24E2A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C687C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A59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C8DE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FAD79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BAB65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EF9B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CCB99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EEE6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93604836">
    <w:abstractNumId w:val="1"/>
  </w:num>
  <w:num w:numId="2" w16cid:durableId="3816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32"/>
    <w:rsid w:val="000525CC"/>
    <w:rsid w:val="000B25EA"/>
    <w:rsid w:val="000D69AA"/>
    <w:rsid w:val="001055FA"/>
    <w:rsid w:val="00141513"/>
    <w:rsid w:val="001D2E8E"/>
    <w:rsid w:val="00202FC8"/>
    <w:rsid w:val="00231833"/>
    <w:rsid w:val="0023444C"/>
    <w:rsid w:val="00270590"/>
    <w:rsid w:val="00320392"/>
    <w:rsid w:val="003542BC"/>
    <w:rsid w:val="003B7CB7"/>
    <w:rsid w:val="00402012"/>
    <w:rsid w:val="00573F48"/>
    <w:rsid w:val="005B7A3A"/>
    <w:rsid w:val="005E7085"/>
    <w:rsid w:val="006D1B1D"/>
    <w:rsid w:val="007D75B7"/>
    <w:rsid w:val="00851190"/>
    <w:rsid w:val="00881532"/>
    <w:rsid w:val="008A6589"/>
    <w:rsid w:val="008D3CFA"/>
    <w:rsid w:val="008E27BE"/>
    <w:rsid w:val="00982E3E"/>
    <w:rsid w:val="00A33F7F"/>
    <w:rsid w:val="00A72908"/>
    <w:rsid w:val="00A73D56"/>
    <w:rsid w:val="00A90961"/>
    <w:rsid w:val="00AA503D"/>
    <w:rsid w:val="00AB53F6"/>
    <w:rsid w:val="00AD59DB"/>
    <w:rsid w:val="00BF14E8"/>
    <w:rsid w:val="00BF5129"/>
    <w:rsid w:val="00C01D51"/>
    <w:rsid w:val="00C36D0F"/>
    <w:rsid w:val="00C87257"/>
    <w:rsid w:val="00CA1449"/>
    <w:rsid w:val="00CF6A5A"/>
    <w:rsid w:val="00D6652F"/>
    <w:rsid w:val="00DA16BB"/>
    <w:rsid w:val="00DA48B4"/>
    <w:rsid w:val="00DC54EC"/>
    <w:rsid w:val="00DC62E5"/>
    <w:rsid w:val="00E414A8"/>
    <w:rsid w:val="00E466F6"/>
    <w:rsid w:val="00E8248D"/>
    <w:rsid w:val="00E9154E"/>
    <w:rsid w:val="00EF7FAB"/>
    <w:rsid w:val="00F32F79"/>
    <w:rsid w:val="00FB7373"/>
    <w:rsid w:val="00FC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265E"/>
  <w15:chartTrackingRefBased/>
  <w15:docId w15:val="{BC067D74-4995-430D-AF7F-9856B25C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1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59DB"/>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9D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8725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42BC"/>
    <w:pPr>
      <w:spacing w:before="0"/>
    </w:pPr>
  </w:style>
  <w:style w:type="character" w:styleId="CommentReference">
    <w:name w:val="annotation reference"/>
    <w:basedOn w:val="DefaultParagraphFont"/>
    <w:uiPriority w:val="99"/>
    <w:semiHidden/>
    <w:unhideWhenUsed/>
    <w:rsid w:val="000D69AA"/>
    <w:rPr>
      <w:sz w:val="16"/>
      <w:szCs w:val="16"/>
    </w:rPr>
  </w:style>
  <w:style w:type="paragraph" w:styleId="CommentText">
    <w:name w:val="annotation text"/>
    <w:basedOn w:val="Normal"/>
    <w:link w:val="CommentTextChar"/>
    <w:uiPriority w:val="99"/>
    <w:unhideWhenUsed/>
    <w:rsid w:val="000D69AA"/>
    <w:rPr>
      <w:sz w:val="20"/>
      <w:szCs w:val="20"/>
    </w:rPr>
  </w:style>
  <w:style w:type="character" w:customStyle="1" w:styleId="CommentTextChar">
    <w:name w:val="Comment Text Char"/>
    <w:basedOn w:val="DefaultParagraphFont"/>
    <w:link w:val="CommentText"/>
    <w:uiPriority w:val="99"/>
    <w:rsid w:val="000D69AA"/>
    <w:rPr>
      <w:sz w:val="20"/>
      <w:szCs w:val="20"/>
    </w:rPr>
  </w:style>
  <w:style w:type="paragraph" w:styleId="CommentSubject">
    <w:name w:val="annotation subject"/>
    <w:basedOn w:val="CommentText"/>
    <w:next w:val="CommentText"/>
    <w:link w:val="CommentSubjectChar"/>
    <w:uiPriority w:val="99"/>
    <w:semiHidden/>
    <w:unhideWhenUsed/>
    <w:rsid w:val="000D69AA"/>
    <w:rPr>
      <w:b/>
      <w:bCs/>
    </w:rPr>
  </w:style>
  <w:style w:type="character" w:customStyle="1" w:styleId="CommentSubjectChar">
    <w:name w:val="Comment Subject Char"/>
    <w:basedOn w:val="CommentTextChar"/>
    <w:link w:val="CommentSubject"/>
    <w:uiPriority w:val="99"/>
    <w:semiHidden/>
    <w:rsid w:val="000D69AA"/>
    <w:rPr>
      <w:b/>
      <w:bCs/>
      <w:sz w:val="20"/>
      <w:szCs w:val="20"/>
    </w:rPr>
  </w:style>
  <w:style w:type="character" w:customStyle="1" w:styleId="Heading1Char">
    <w:name w:val="Heading 1 Char"/>
    <w:basedOn w:val="DefaultParagraphFont"/>
    <w:link w:val="Heading1"/>
    <w:uiPriority w:val="9"/>
    <w:rsid w:val="00BF51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73F48"/>
    <w:rPr>
      <w:color w:val="0563C1" w:themeColor="hyperlink"/>
      <w:u w:val="single"/>
    </w:rPr>
  </w:style>
  <w:style w:type="character" w:styleId="UnresolvedMention">
    <w:name w:val="Unresolved Mention"/>
    <w:basedOn w:val="DefaultParagraphFont"/>
    <w:uiPriority w:val="99"/>
    <w:semiHidden/>
    <w:unhideWhenUsed/>
    <w:rsid w:val="00573F48"/>
    <w:rPr>
      <w:color w:val="605E5C"/>
      <w:shd w:val="clear" w:color="auto" w:fill="E1DFDD"/>
    </w:rPr>
  </w:style>
  <w:style w:type="paragraph" w:styleId="ListParagraph">
    <w:name w:val="List Paragraph"/>
    <w:basedOn w:val="Normal"/>
    <w:uiPriority w:val="34"/>
    <w:qFormat/>
    <w:rsid w:val="005B7A3A"/>
    <w:pPr>
      <w:ind w:left="720"/>
      <w:contextualSpacing/>
    </w:pPr>
  </w:style>
  <w:style w:type="paragraph" w:styleId="Header">
    <w:name w:val="header"/>
    <w:basedOn w:val="Normal"/>
    <w:link w:val="HeaderChar"/>
    <w:uiPriority w:val="99"/>
    <w:unhideWhenUsed/>
    <w:rsid w:val="00FB7373"/>
    <w:pPr>
      <w:tabs>
        <w:tab w:val="center" w:pos="4513"/>
        <w:tab w:val="right" w:pos="9026"/>
      </w:tabs>
      <w:spacing w:before="0"/>
    </w:pPr>
  </w:style>
  <w:style w:type="character" w:customStyle="1" w:styleId="HeaderChar">
    <w:name w:val="Header Char"/>
    <w:basedOn w:val="DefaultParagraphFont"/>
    <w:link w:val="Header"/>
    <w:uiPriority w:val="99"/>
    <w:rsid w:val="00FB7373"/>
  </w:style>
  <w:style w:type="paragraph" w:styleId="Footer">
    <w:name w:val="footer"/>
    <w:basedOn w:val="Normal"/>
    <w:link w:val="FooterChar"/>
    <w:uiPriority w:val="99"/>
    <w:unhideWhenUsed/>
    <w:rsid w:val="00FB7373"/>
    <w:pPr>
      <w:tabs>
        <w:tab w:val="center" w:pos="4513"/>
        <w:tab w:val="right" w:pos="9026"/>
      </w:tabs>
      <w:spacing w:before="0"/>
    </w:pPr>
  </w:style>
  <w:style w:type="character" w:customStyle="1" w:styleId="FooterChar">
    <w:name w:val="Footer Char"/>
    <w:basedOn w:val="DefaultParagraphFont"/>
    <w:link w:val="Footer"/>
    <w:uiPriority w:val="99"/>
    <w:rsid w:val="00FB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harities-and-investment-matters-a-guide-for-trustees-cc14/charities-and-investment-matters-a-guide-for-trus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ester.ac.uk/about/university-information/facts-and-figures/financial-inform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33C473AC22346AE1864FE773BFF8E" ma:contentTypeVersion="15" ma:contentTypeDescription="Create a new document." ma:contentTypeScope="" ma:versionID="f257fc290eee64ff25af3d7dd75aaf43">
  <xsd:schema xmlns:xsd="http://www.w3.org/2001/XMLSchema" xmlns:xs="http://www.w3.org/2001/XMLSchema" xmlns:p="http://schemas.microsoft.com/office/2006/metadata/properties" xmlns:ns2="97e54507-d68c-4961-bb66-a6201f405235" xmlns:ns3="b9b9c57e-afa3-4b8f-9130-c7e61893aebf" targetNamespace="http://schemas.microsoft.com/office/2006/metadata/properties" ma:root="true" ma:fieldsID="36f2557a9f0276b584ebc6031e2a44b7" ns2:_="" ns3:_="">
    <xsd:import namespace="97e54507-d68c-4961-bb66-a6201f405235"/>
    <xsd:import namespace="b9b9c57e-afa3-4b8f-9130-c7e61893a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4507-d68c-4961-bb66-a6201f405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c57e-afa3-4b8f-9130-c7e61893ae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ba89784-1c21-4d5d-97ce-e6ce281a1642}" ma:internalName="TaxCatchAll" ma:showField="CatchAllData" ma:web="b9b9c57e-afa3-4b8f-9130-c7e61893ae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b9c57e-afa3-4b8f-9130-c7e61893aebf" xsi:nil="true"/>
    <lcf76f155ced4ddcb4097134ff3c332f xmlns="97e54507-d68c-4961-bb66-a6201f405235">
      <Terms xmlns="http://schemas.microsoft.com/office/infopath/2007/PartnerControls"/>
    </lcf76f155ced4ddcb4097134ff3c332f>
    <SharedWithUsers xmlns="b9b9c57e-afa3-4b8f-9130-c7e61893aeb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FFF42-7C37-44A9-8F9A-B8D1362FC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4507-d68c-4961-bb66-a6201f405235"/>
    <ds:schemaRef ds:uri="b9b9c57e-afa3-4b8f-9130-c7e61893a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00AB5-D7FB-4086-8192-C6443B9A0F51}">
  <ds:schemaRefs>
    <ds:schemaRef ds:uri="http://schemas.microsoft.com/office/2006/metadata/properties"/>
    <ds:schemaRef ds:uri="http://schemas.microsoft.com/office/infopath/2007/PartnerControls"/>
    <ds:schemaRef ds:uri="b9b9c57e-afa3-4b8f-9130-c7e61893aebf"/>
    <ds:schemaRef ds:uri="97e54507-d68c-4961-bb66-a6201f405235"/>
  </ds:schemaRefs>
</ds:datastoreItem>
</file>

<file path=customXml/itemProps3.xml><?xml version="1.0" encoding="utf-8"?>
<ds:datastoreItem xmlns:ds="http://schemas.openxmlformats.org/officeDocument/2006/customXml" ds:itemID="{4F23161D-C976-4BBB-B341-7E89CA4FA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927</Words>
  <Characters>5287</Characters>
  <Application>Microsoft Office Word</Application>
  <DocSecurity>0</DocSecurity>
  <Lines>44</Lines>
  <Paragraphs>12</Paragraphs>
  <ScaleCrop>false</ScaleCrop>
  <Company>University of Worcester</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Johnstone</dc:creator>
  <cp:keywords/>
  <dc:description/>
  <cp:lastModifiedBy>Jackie Newland</cp:lastModifiedBy>
  <cp:revision>7</cp:revision>
  <dcterms:created xsi:type="dcterms:W3CDTF">2024-03-26T14:21:00Z</dcterms:created>
  <dcterms:modified xsi:type="dcterms:W3CDTF">2024-05-08T14:40:00Z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0x01010018133C473AC22346AE1864FE773BFF8E</vt:lpwstr>
  </property>
  <property fmtid="{D5CDD505-2E9C-101B-9397-08002B2CF9AE}" pid="3" name="MediaServiceImageTags">
    <vt:lpwstr/>
  </property>
  <property fmtid="{D5CDD505-2E9C-101B-9397-08002B2CF9AE}" pid="4" name="Order">
    <vt:r8>2021700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