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4AF78" w14:textId="77777777" w:rsidR="00E06E83" w:rsidRPr="00BD4236" w:rsidRDefault="007E117A" w:rsidP="00E96E5F">
      <w:pPr>
        <w:pStyle w:val="Heading1"/>
      </w:pPr>
      <w:r w:rsidRPr="00BD4236">
        <w:t>A1.2</w:t>
      </w:r>
      <w:r w:rsidR="00E96E5F" w:rsidRPr="00BD4236">
        <w:t xml:space="preserve"> Being inclusive in Designing </w:t>
      </w:r>
      <w:r w:rsidRPr="00BD4236">
        <w:t>Curriculum Content</w:t>
      </w:r>
    </w:p>
    <w:p w14:paraId="1CBC5BFF" w14:textId="77777777" w:rsidR="00E96E5F" w:rsidRPr="00BD4236" w:rsidRDefault="00E96E5F" w:rsidP="00E96E5F">
      <w:pPr>
        <w:pStyle w:val="Heading1"/>
      </w:pPr>
      <w:r w:rsidRPr="00BD4236">
        <w:t>What?</w:t>
      </w:r>
    </w:p>
    <w:p w14:paraId="01221178" w14:textId="77777777" w:rsidR="007E117A" w:rsidRPr="00BD4236" w:rsidRDefault="007E117A" w:rsidP="007E117A">
      <w:pPr>
        <w:rPr>
          <w:b/>
        </w:rPr>
      </w:pPr>
      <w:r w:rsidRPr="00BD4236">
        <w:rPr>
          <w:b/>
        </w:rPr>
        <w:t>Embed learning and academic skills development in the curriculum.</w:t>
      </w:r>
    </w:p>
    <w:p w14:paraId="1304D52E" w14:textId="77777777" w:rsidR="00E96E5F" w:rsidRPr="00BD4236" w:rsidRDefault="00E96E5F" w:rsidP="00E96E5F">
      <w:pPr>
        <w:pStyle w:val="Heading1"/>
      </w:pPr>
      <w:r w:rsidRPr="00BD4236">
        <w:t>How?</w:t>
      </w:r>
    </w:p>
    <w:p w14:paraId="3B72FC1C" w14:textId="77777777" w:rsidR="007E117A" w:rsidRPr="00BD4236" w:rsidRDefault="007E117A" w:rsidP="007E117A">
      <w:r w:rsidRPr="00BD4236">
        <w:t>Consider embedding academic skills (</w:t>
      </w:r>
      <w:hyperlink r:id="rId5" w:tooltip="University of Worcester Study Skills" w:history="1">
        <w:r w:rsidRPr="00BD4236">
          <w:rPr>
            <w:rStyle w:val="Hyperlink"/>
          </w:rPr>
          <w:t>https://library.worc.ac.uk/guides/study-skills</w:t>
        </w:r>
      </w:hyperlink>
      <w:r w:rsidRPr="00BD4236">
        <w:t>) development into core modules of a course, especially in the first year.</w:t>
      </w:r>
    </w:p>
    <w:p w14:paraId="453E9E91" w14:textId="77777777" w:rsidR="00E96E5F" w:rsidRPr="00BD4236" w:rsidRDefault="007E117A" w:rsidP="007E117A">
      <w:r w:rsidRPr="00BD4236">
        <w:t>Library Services can advise further about teaching academic skills in the curriculum (</w:t>
      </w:r>
      <w:hyperlink r:id="rId6" w:tooltip="Univerity of Worcester library support" w:history="1">
        <w:r w:rsidRPr="00BD4236">
          <w:rPr>
            <w:rStyle w:val="Hyperlink"/>
          </w:rPr>
          <w:t>https://library.worc.ac.uk/services/academic-staff-support/library-teaching</w:t>
        </w:r>
      </w:hyperlink>
      <w:r w:rsidRPr="00BD4236">
        <w:t>).</w:t>
      </w:r>
    </w:p>
    <w:p w14:paraId="0E56017D" w14:textId="77777777" w:rsidR="00E96E5F" w:rsidRPr="00BD4236" w:rsidRDefault="00E96E5F" w:rsidP="00E96E5F">
      <w:pPr>
        <w:pStyle w:val="Heading1"/>
      </w:pPr>
      <w:r w:rsidRPr="00BD4236">
        <w:t>Why?</w:t>
      </w:r>
    </w:p>
    <w:p w14:paraId="1483BF9A" w14:textId="77777777" w:rsidR="00E96E5F" w:rsidRPr="00BD4236" w:rsidRDefault="007E117A" w:rsidP="007E117A">
      <w:r w:rsidRPr="00BD4236">
        <w:t>This aids transition into higher education for all students, particularly those from non-traditional backgrounds or people who have not studied for a long time. It reduces the need for students with specific learning difficulties (SpLDs) to seek additional support</w:t>
      </w:r>
      <w:r w:rsidRPr="00BD4236">
        <w:rPr>
          <w:vertAlign w:val="superscript"/>
        </w:rPr>
        <w:t>1</w:t>
      </w:r>
      <w:r w:rsidRPr="00BD4236">
        <w:t xml:space="preserve"> and refreshes the knowledge and approaches used by all students.</w:t>
      </w:r>
    </w:p>
    <w:p w14:paraId="1D5A2A59" w14:textId="77777777" w:rsidR="00E96E5F" w:rsidRPr="00BD4236" w:rsidRDefault="007E117A">
      <w:r w:rsidRPr="00BD4236">
        <w:rPr>
          <w:vertAlign w:val="superscript"/>
        </w:rPr>
        <w:t xml:space="preserve">1 </w:t>
      </w:r>
      <w:r w:rsidRPr="00BD4236">
        <w:t>Wray, J., Aspland, J., Taghzouit, J. and Pace, K. 2013. Making the nursing curriculum more inclusive for students with specific learning difficulties (SpLD): embedding specialist study skills into a core module. Nurse education today, 33(6), pp.602-607.</w:t>
      </w:r>
    </w:p>
    <w:p w14:paraId="2717630A" w14:textId="77777777" w:rsidR="00E96E5F" w:rsidRPr="00BD4236" w:rsidRDefault="00E96E5F" w:rsidP="00E96E5F">
      <w:pPr>
        <w:pStyle w:val="Heading1"/>
      </w:pPr>
      <w:r w:rsidRPr="00BD4236">
        <w:t>What?</w:t>
      </w:r>
    </w:p>
    <w:p w14:paraId="473F2DC8" w14:textId="77777777" w:rsidR="00E96E5F" w:rsidRPr="00BD4236" w:rsidRDefault="00DB6D97" w:rsidP="00E96E5F">
      <w:pPr>
        <w:rPr>
          <w:b/>
        </w:rPr>
      </w:pPr>
      <w:r w:rsidRPr="00BD4236">
        <w:rPr>
          <w:b/>
        </w:rPr>
        <w:t>Make the curriculum inclusive. Know your students.</w:t>
      </w:r>
    </w:p>
    <w:p w14:paraId="5DCC1F81" w14:textId="77777777" w:rsidR="00E96E5F" w:rsidRPr="00BD4236" w:rsidRDefault="00E96E5F" w:rsidP="00E96E5F">
      <w:pPr>
        <w:pStyle w:val="Heading1"/>
      </w:pPr>
      <w:r w:rsidRPr="00BD4236">
        <w:t>How?</w:t>
      </w:r>
    </w:p>
    <w:p w14:paraId="7AE18D7F" w14:textId="77777777" w:rsidR="00DB6D97" w:rsidRPr="00BD4236" w:rsidRDefault="00DB6D97" w:rsidP="00DB6D97">
      <w:r w:rsidRPr="00BD4236">
        <w:t>Anticipate that a broad range of students will want, and are entitled, to access the course and their needs should be taken into account. Six key principles of inclusive curriculum design are to try to be:</w:t>
      </w:r>
    </w:p>
    <w:p w14:paraId="39FE4815" w14:textId="71D124B7" w:rsidR="00E96E5F" w:rsidRPr="00BD4236" w:rsidRDefault="00DB6D97" w:rsidP="3B11DEC5">
      <w:pPr>
        <w:rPr>
          <w:vertAlign w:val="superscript"/>
        </w:rPr>
      </w:pPr>
      <w:r w:rsidRPr="00BD4236">
        <w:t>1. Anticipatory 2. Flexible 3. Accountable 4. Collaborative 5. Transparent 6. Equitable.</w:t>
      </w:r>
    </w:p>
    <w:p w14:paraId="6B202CB6" w14:textId="77777777" w:rsidR="00DB6D97" w:rsidRPr="00BD4236" w:rsidRDefault="00DB6D97" w:rsidP="00DB6D97">
      <w:r w:rsidRPr="00BD4236">
        <w:rPr>
          <w:vertAlign w:val="superscript"/>
        </w:rPr>
        <w:t>2</w:t>
      </w:r>
      <w:r w:rsidRPr="00BD4236">
        <w:t xml:space="preserve"> Morgan, H. and Houghton,  A. (2011:  7) Inclusive Curriculum Design in Higher Education. York: Higher Education Academy, pp.7</w:t>
      </w:r>
    </w:p>
    <w:p w14:paraId="4C602F36" w14:textId="77777777" w:rsidR="00E96E5F" w:rsidRPr="00BD4236" w:rsidRDefault="00E96E5F" w:rsidP="00E96E5F">
      <w:pPr>
        <w:pStyle w:val="Heading1"/>
      </w:pPr>
      <w:r w:rsidRPr="00BD4236">
        <w:t>Why?</w:t>
      </w:r>
    </w:p>
    <w:p w14:paraId="21001671" w14:textId="77777777" w:rsidR="00DB6D97" w:rsidRPr="00BD4236" w:rsidRDefault="00DB6D97" w:rsidP="00DB6D97">
      <w:r w:rsidRPr="00BD4236">
        <w:t xml:space="preserve">These principles reflect equality legislation and tie in with the ideas behind Universal Design for Learning </w:t>
      </w:r>
      <w:r w:rsidRPr="00BD4236">
        <w:rPr>
          <w:vertAlign w:val="superscript"/>
        </w:rPr>
        <w:t>3,4</w:t>
      </w:r>
      <w:r w:rsidRPr="00BD4236">
        <w:t xml:space="preserve"> so that accessibility for all is considered and built into modules from the very beginning.</w:t>
      </w:r>
    </w:p>
    <w:p w14:paraId="1B69AF24" w14:textId="3068B2A2" w:rsidR="00DB6D97" w:rsidRPr="00BD4236" w:rsidRDefault="00DB6D97" w:rsidP="00DB6D97">
      <w:r w:rsidRPr="00BD4236">
        <w:rPr>
          <w:vertAlign w:val="superscript"/>
        </w:rPr>
        <w:t>3</w:t>
      </w:r>
      <w:r w:rsidRPr="00BD4236">
        <w:t xml:space="preserve"> Center for Applied Special Technology (CAST). 2018. Universal Design for Learning Guidelines Version 2.2. Retri</w:t>
      </w:r>
      <w:r w:rsidR="00B47BA6" w:rsidRPr="00BD4236">
        <w:t xml:space="preserve">eved from </w:t>
      </w:r>
      <w:r w:rsidR="00FD4C35" w:rsidRPr="00BD4236">
        <w:rPr>
          <w:rStyle w:val="Hyperlink"/>
        </w:rPr>
        <w:t xml:space="preserve"> </w:t>
      </w:r>
      <w:hyperlink r:id="rId7">
        <w:r w:rsidR="00FD4C35" w:rsidRPr="00BD4236">
          <w:rPr>
            <w:rStyle w:val="Hyperlink"/>
          </w:rPr>
          <w:t>https://www.cast.org/impact/universal-design-for-learning-udl</w:t>
        </w:r>
      </w:hyperlink>
      <w:r w:rsidRPr="00BD4236">
        <w:t xml:space="preserve"> [Accessed </w:t>
      </w:r>
      <w:r w:rsidR="00FD4C35" w:rsidRPr="00BD4236">
        <w:t>April 2021</w:t>
      </w:r>
      <w:r w:rsidRPr="00BD4236">
        <w:t>]</w:t>
      </w:r>
      <w:r w:rsidR="00FD4C35" w:rsidRPr="00BD4236">
        <w:t xml:space="preserve"> </w:t>
      </w:r>
    </w:p>
    <w:p w14:paraId="4070B37F" w14:textId="77777777" w:rsidR="00E96E5F" w:rsidRPr="00BD4236" w:rsidRDefault="00DB6D97" w:rsidP="00DB6D97">
      <w:r w:rsidRPr="00BD4236">
        <w:rPr>
          <w:vertAlign w:val="superscript"/>
        </w:rPr>
        <w:lastRenderedPageBreak/>
        <w:t xml:space="preserve">4 </w:t>
      </w:r>
      <w:r w:rsidRPr="00BD4236">
        <w:t>Rogers-Shaw, C. Carr-Chellman, D. and Choi, J. (2018) Universal Design for Learning Guidelines for Accessible Online Instruction Adult Learning</w:t>
      </w:r>
      <w:r w:rsidR="00B47BA6" w:rsidRPr="00BD4236">
        <w:t xml:space="preserve"> Volume: 29 issue: 1, page(s): 20-31.</w:t>
      </w:r>
    </w:p>
    <w:p w14:paraId="3EA2EA8D" w14:textId="77777777" w:rsidR="00E96E5F" w:rsidRPr="00BD4236" w:rsidRDefault="00E96E5F" w:rsidP="00E96E5F">
      <w:pPr>
        <w:pStyle w:val="Heading1"/>
      </w:pPr>
      <w:r w:rsidRPr="00BD4236">
        <w:t>What?</w:t>
      </w:r>
    </w:p>
    <w:p w14:paraId="0B0CEDC8" w14:textId="77777777" w:rsidR="00E96E5F" w:rsidRPr="00BD4236" w:rsidRDefault="00B47BA6" w:rsidP="00E96E5F">
      <w:pPr>
        <w:rPr>
          <w:b/>
        </w:rPr>
      </w:pPr>
      <w:r w:rsidRPr="00BD4236">
        <w:rPr>
          <w:b/>
        </w:rPr>
        <w:t>Make your curriculum globally and culturally mobile.</w:t>
      </w:r>
    </w:p>
    <w:p w14:paraId="0A0ABADF" w14:textId="77777777" w:rsidR="00E96E5F" w:rsidRPr="00BD4236" w:rsidRDefault="00E96E5F" w:rsidP="00E96E5F">
      <w:pPr>
        <w:pStyle w:val="Heading1"/>
      </w:pPr>
      <w:r w:rsidRPr="00BD4236">
        <w:t>How?</w:t>
      </w:r>
    </w:p>
    <w:p w14:paraId="58AFACBD" w14:textId="77777777" w:rsidR="00E96E5F" w:rsidRPr="00BD4236" w:rsidRDefault="00B47BA6" w:rsidP="00E96E5F">
      <w:r w:rsidRPr="00BD4236">
        <w:t>Include ideas, concepts and reading lists that relate to global communities including those that are presented by different genders, ethnicities and those with different values and beliefs. Ensure the curriculum reflects a range of perspectives and viewpoints where relevant.</w:t>
      </w:r>
    </w:p>
    <w:p w14:paraId="6682C38C" w14:textId="77777777" w:rsidR="00E96E5F" w:rsidRPr="00BD4236" w:rsidRDefault="00E96E5F" w:rsidP="00E96E5F">
      <w:pPr>
        <w:pStyle w:val="Heading1"/>
      </w:pPr>
      <w:r w:rsidRPr="00BD4236">
        <w:t>Why?</w:t>
      </w:r>
    </w:p>
    <w:p w14:paraId="4194B97C" w14:textId="77777777" w:rsidR="00E96E5F" w:rsidRPr="00BD4236" w:rsidRDefault="00B47BA6" w:rsidP="00E96E5F">
      <w:r w:rsidRPr="00BD4236">
        <w:t>Being able to identify with the material being presented is likely to enhance learning by making it more memorable and relevant.</w:t>
      </w:r>
      <w:r w:rsidRPr="00BD4236">
        <w:rPr>
          <w:vertAlign w:val="superscript"/>
        </w:rPr>
        <w:t>5,6</w:t>
      </w:r>
      <w:r w:rsidRPr="00BD4236">
        <w:t xml:space="preserve"> Research shows that this enriches students’ knowledge and understanding of the world, making them more able to accept differing perspectives and improving problem solving abilities.</w:t>
      </w:r>
      <w:r w:rsidRPr="00BD4236">
        <w:rPr>
          <w:vertAlign w:val="superscript"/>
        </w:rPr>
        <w:t>7</w:t>
      </w:r>
      <w:r w:rsidRPr="00BD4236">
        <w:t xml:space="preserve"> It also helps to support the needs of a multicultural and globally mobile student body.</w:t>
      </w:r>
    </w:p>
    <w:p w14:paraId="191C1B69" w14:textId="0C461923" w:rsidR="4F9CA4D6" w:rsidRPr="00BD4236" w:rsidRDefault="00B47BA6" w:rsidP="69F2E7A1">
      <w:pPr>
        <w:rPr>
          <w:rFonts w:eastAsia="Arial" w:cs="Arial"/>
          <w:szCs w:val="24"/>
        </w:rPr>
      </w:pPr>
      <w:r w:rsidRPr="00BD4236">
        <w:rPr>
          <w:vertAlign w:val="superscript"/>
        </w:rPr>
        <w:t>5</w:t>
      </w:r>
      <w:r w:rsidRPr="00BD4236">
        <w:t xml:space="preserve"> Hussain, M. 2015. Why is My Curriculum White? National Union of Students. Available at</w:t>
      </w:r>
      <w:r w:rsidR="08BD73E1" w:rsidRPr="00BD4236">
        <w:t xml:space="preserve"> </w:t>
      </w:r>
      <w:hyperlink r:id="rId8">
        <w:r w:rsidR="4F9CA4D6" w:rsidRPr="00BD4236">
          <w:rPr>
            <w:rStyle w:val="Hyperlink"/>
            <w:rFonts w:eastAsia="Arial" w:cs="Arial"/>
            <w:szCs w:val="24"/>
          </w:rPr>
          <w:t>h</w:t>
        </w:r>
      </w:hyperlink>
      <w:r w:rsidR="4F9CA4D6" w:rsidRPr="00BD4236">
        <w:rPr>
          <w:rStyle w:val="Hyperlink"/>
          <w:rFonts w:eastAsia="Arial" w:cs="Arial"/>
          <w:szCs w:val="24"/>
        </w:rPr>
        <w:t>ttps://www.nusconnect.org.uk/articles/why-is-my-curriculum-white-decolonising-the-academy</w:t>
      </w:r>
      <w:r w:rsidR="4F9CA4D6" w:rsidRPr="00BD4236">
        <w:rPr>
          <w:rFonts w:eastAsia="Arial" w:cs="Arial"/>
          <w:szCs w:val="24"/>
        </w:rPr>
        <w:t xml:space="preserve"> [Accessed: April 2021]</w:t>
      </w:r>
    </w:p>
    <w:p w14:paraId="727B9F4C" w14:textId="77777777" w:rsidR="00B47BA6" w:rsidRPr="00BD4236" w:rsidRDefault="00B47BA6" w:rsidP="69F2E7A1">
      <w:r w:rsidRPr="00BD4236">
        <w:rPr>
          <w:vertAlign w:val="superscript"/>
        </w:rPr>
        <w:t>6</w:t>
      </w:r>
      <w:r w:rsidRPr="00BD4236">
        <w:t xml:space="preserve"> UCL Liberating the Curriculum [Online] [Accessed 4 September</w:t>
      </w:r>
      <w:r w:rsidRPr="00BD4236">
        <w:rPr>
          <w:b/>
          <w:bCs/>
        </w:rPr>
        <w:t xml:space="preserve"> </w:t>
      </w:r>
      <w:r w:rsidRPr="00BD4236">
        <w:t xml:space="preserve">2018] Available from: </w:t>
      </w:r>
      <w:hyperlink r:id="rId9">
        <w:r w:rsidRPr="00BD4236">
          <w:rPr>
            <w:rStyle w:val="Hyperlink"/>
          </w:rPr>
          <w:t>https://www.ucl.ac.uk/teaching-learning/research-based-education/liberating-curriculum</w:t>
        </w:r>
      </w:hyperlink>
    </w:p>
    <w:p w14:paraId="0B9B1369" w14:textId="77777777" w:rsidR="00B47BA6" w:rsidRPr="00BD4236" w:rsidRDefault="00B47BA6" w:rsidP="00AA17AE">
      <w:pPr>
        <w:rPr>
          <w:b/>
        </w:rPr>
      </w:pPr>
      <w:r w:rsidRPr="00BD4236">
        <w:rPr>
          <w:vertAlign w:val="superscript"/>
        </w:rPr>
        <w:t>7</w:t>
      </w:r>
      <w:r w:rsidRPr="00BD4236">
        <w:t xml:space="preserve"> Chang, M.J., Denson, N., Saenz, V and Kimberly,M. 2006. The Educational Benefits of Sustaining Cross- racial Interaction Among Undergraduates, Journal of Higher Education, 77 (3): 430-55 at 449</w:t>
      </w:r>
    </w:p>
    <w:p w14:paraId="57445845" w14:textId="77777777" w:rsidR="00E96E5F" w:rsidRPr="00BD4236" w:rsidRDefault="00E96E5F" w:rsidP="00AA17AE">
      <w:r w:rsidRPr="00BD4236">
        <w:t>What?</w:t>
      </w:r>
    </w:p>
    <w:p w14:paraId="73FB2096" w14:textId="77777777" w:rsidR="00E96E5F" w:rsidRPr="00BD4236" w:rsidRDefault="00B47BA6" w:rsidP="00E96E5F">
      <w:pPr>
        <w:rPr>
          <w:b/>
        </w:rPr>
      </w:pPr>
      <w:r w:rsidRPr="00BD4236">
        <w:rPr>
          <w:b/>
        </w:rPr>
        <w:t>Incorporate diversity for positive change in student experience.</w:t>
      </w:r>
    </w:p>
    <w:p w14:paraId="041E0C50" w14:textId="77777777" w:rsidR="00E96E5F" w:rsidRPr="00BD4236" w:rsidRDefault="00E96E5F" w:rsidP="00E96E5F">
      <w:pPr>
        <w:pStyle w:val="Heading1"/>
      </w:pPr>
      <w:r w:rsidRPr="00BD4236">
        <w:t>How?</w:t>
      </w:r>
    </w:p>
    <w:p w14:paraId="0FCB093F" w14:textId="77777777" w:rsidR="00E96E5F" w:rsidRPr="00BD4236" w:rsidRDefault="00B47BA6" w:rsidP="00B47BA6">
      <w:r w:rsidRPr="00BD4236">
        <w:t>Ensure that the curriculum promotes intercultural understanding and perspectives, providing opportunities for students to interact with those from different backgrounds and with differing diversity profiles</w:t>
      </w:r>
    </w:p>
    <w:p w14:paraId="7B2E617E" w14:textId="77777777" w:rsidR="00E96E5F" w:rsidRPr="00BD4236" w:rsidRDefault="00E96E5F" w:rsidP="00E96E5F">
      <w:pPr>
        <w:pStyle w:val="Heading1"/>
      </w:pPr>
      <w:r w:rsidRPr="00BD4236">
        <w:t>Why?</w:t>
      </w:r>
    </w:p>
    <w:p w14:paraId="3D5F1409" w14:textId="77777777" w:rsidR="00E96E5F" w:rsidRPr="00BD4236" w:rsidRDefault="00B47BA6" w:rsidP="00E96E5F">
      <w:r w:rsidRPr="00BD4236">
        <w:t>Incorporating perspectives towards subject matter and reading lists that reflect diversity will ensure that your course doesn’t deliver narrow understandings, and will help students to value diversity, as well as develop their understanding of different cultures and social identities. In turn, this may help to address contemporary problems and inequalities.</w:t>
      </w:r>
    </w:p>
    <w:p w14:paraId="03908174" w14:textId="77777777" w:rsidR="00E96E5F" w:rsidRPr="00BD4236" w:rsidRDefault="00E96E5F" w:rsidP="00E96E5F">
      <w:pPr>
        <w:pStyle w:val="Heading1"/>
      </w:pPr>
      <w:r w:rsidRPr="00BD4236">
        <w:lastRenderedPageBreak/>
        <w:t>What?</w:t>
      </w:r>
    </w:p>
    <w:p w14:paraId="59C2ECFF" w14:textId="77777777" w:rsidR="00B47BA6" w:rsidRPr="00BD4236" w:rsidRDefault="00B47BA6" w:rsidP="00B47BA6">
      <w:pPr>
        <w:rPr>
          <w:b/>
        </w:rPr>
      </w:pPr>
      <w:r w:rsidRPr="00BD4236">
        <w:rPr>
          <w:b/>
        </w:rPr>
        <w:t>Be culturally sensitive.</w:t>
      </w:r>
    </w:p>
    <w:p w14:paraId="260AD2C6" w14:textId="77777777" w:rsidR="00E96E5F" w:rsidRPr="00BD4236" w:rsidRDefault="00E96E5F" w:rsidP="00B47BA6">
      <w:pPr>
        <w:pStyle w:val="Heading1"/>
      </w:pPr>
      <w:r w:rsidRPr="00BD4236">
        <w:t>How?</w:t>
      </w:r>
    </w:p>
    <w:p w14:paraId="0844AB22" w14:textId="77777777" w:rsidR="00B47BA6" w:rsidRPr="00BD4236" w:rsidRDefault="00B47BA6" w:rsidP="00B47BA6">
      <w:r w:rsidRPr="00BD4236">
        <w:t>Avoid activities which might culturally exclude students due to presumed knowledge of Anglocentric or Eurocentric references.</w:t>
      </w:r>
    </w:p>
    <w:p w14:paraId="4D65E97A" w14:textId="77777777" w:rsidR="00E96E5F" w:rsidRPr="00BD4236" w:rsidRDefault="00B47BA6" w:rsidP="00B47BA6">
      <w:r w:rsidRPr="00BD4236">
        <w:t>Actively challenge cultural norms and stereotypes and use language that reflects this.</w:t>
      </w:r>
    </w:p>
    <w:p w14:paraId="59BADB04" w14:textId="77777777" w:rsidR="00E96E5F" w:rsidRPr="00BD4236" w:rsidRDefault="00E96E5F" w:rsidP="00E96E5F">
      <w:pPr>
        <w:pStyle w:val="Heading1"/>
      </w:pPr>
      <w:r w:rsidRPr="00BD4236">
        <w:t>Why?</w:t>
      </w:r>
    </w:p>
    <w:p w14:paraId="7070FF4B" w14:textId="77777777" w:rsidR="00E96E5F" w:rsidRPr="00BD4236" w:rsidRDefault="00B47BA6" w:rsidP="00B47BA6">
      <w:r w:rsidRPr="00BD4236">
        <w:t>Ensuring all students feel included will provide a more positive learning experience for all. Using examples that people understand will aid their learning.</w:t>
      </w:r>
      <w:r w:rsidRPr="00BD4236">
        <w:rPr>
          <w:vertAlign w:val="superscript"/>
        </w:rPr>
        <w:t>8</w:t>
      </w:r>
    </w:p>
    <w:p w14:paraId="39FECE17" w14:textId="77777777" w:rsidR="00E96E5F" w:rsidRPr="00BD4236" w:rsidRDefault="00B47BA6" w:rsidP="00E96E5F">
      <w:r w:rsidRPr="00BD4236">
        <w:rPr>
          <w:vertAlign w:val="superscript"/>
        </w:rPr>
        <w:t>8</w:t>
      </w:r>
      <w:r w:rsidRPr="00BD4236">
        <w:t xml:space="preserve"> Carroll, J. and J. Ryan, Eds. 2005. Teaching International Students: Improving learning for all. London, Routledge</w:t>
      </w:r>
    </w:p>
    <w:p w14:paraId="7F352D48" w14:textId="77777777" w:rsidR="00756558" w:rsidRPr="00BD4236" w:rsidRDefault="00756558" w:rsidP="00B47BA6"/>
    <w:p w14:paraId="5B07BE4A" w14:textId="16753C4C" w:rsidR="00B47BA6" w:rsidRPr="00BD4236" w:rsidRDefault="00B47BA6">
      <w:r w:rsidRPr="00BD4236">
        <w:t xml:space="preserve">With thanks to Dr Jacqueline Houghton and Jenny Brady of the University of Leeds, and Dr Wendy Miller and Priska Schoenborn of Plymouth University, for allowing us to use and adapt their series of guides: </w:t>
      </w:r>
    </w:p>
    <w:p w14:paraId="5FC374D6" w14:textId="19667FB1" w:rsidR="3ECDA1C9" w:rsidRPr="00BD4236" w:rsidRDefault="00BD4236" w:rsidP="3B11DEC5">
      <w:pPr>
        <w:rPr>
          <w:rFonts w:eastAsia="Arial" w:cs="Arial"/>
          <w:szCs w:val="24"/>
        </w:rPr>
      </w:pPr>
      <w:hyperlink r:id="rId10">
        <w:r w:rsidR="3ECDA1C9" w:rsidRPr="00BD4236">
          <w:rPr>
            <w:rStyle w:val="Hyperlink"/>
            <w:rFonts w:eastAsia="Arial" w:cs="Arial"/>
            <w:szCs w:val="24"/>
          </w:rPr>
          <w:t>https://inclusiveteaching.leeds.ac.uk/</w:t>
        </w:r>
      </w:hyperlink>
      <w:r w:rsidR="3ECDA1C9" w:rsidRPr="00BD4236">
        <w:rPr>
          <w:rFonts w:eastAsia="Arial" w:cs="Arial"/>
          <w:szCs w:val="24"/>
        </w:rPr>
        <w:t>;</w:t>
      </w:r>
    </w:p>
    <w:p w14:paraId="2ECE881A" w14:textId="77777777" w:rsidR="00B47BA6" w:rsidRPr="00BD4236" w:rsidRDefault="00BD4236" w:rsidP="00B47BA6">
      <w:hyperlink r:id="rId11">
        <w:r w:rsidR="00B47BA6" w:rsidRPr="00BD4236">
          <w:rPr>
            <w:rStyle w:val="Hyperlink"/>
          </w:rPr>
          <w:t>https://www.plymouth.ac.uk/your-university/teaching-and-learning/inclusivity</w:t>
        </w:r>
      </w:hyperlink>
    </w:p>
    <w:p w14:paraId="76EDE994" w14:textId="487A5623" w:rsidR="69F2E7A1" w:rsidRPr="00BD4236" w:rsidRDefault="69F2E7A1"/>
    <w:p w14:paraId="64B1E992" w14:textId="6EF294D4" w:rsidR="479FC555" w:rsidRPr="00BD4236" w:rsidRDefault="479FC555" w:rsidP="69F2E7A1">
      <w:pPr>
        <w:rPr>
          <w:rFonts w:eastAsia="Arial" w:cs="Arial"/>
          <w:color w:val="000000" w:themeColor="text1"/>
          <w:szCs w:val="24"/>
        </w:rPr>
      </w:pPr>
      <w:r w:rsidRPr="00BD4236">
        <w:rPr>
          <w:rFonts w:eastAsia="Arial" w:cs="Arial"/>
          <w:color w:val="000000" w:themeColor="text1"/>
          <w:szCs w:val="24"/>
        </w:rPr>
        <w:t>Weblinks reviewed and updated: April 2021</w:t>
      </w:r>
    </w:p>
    <w:p w14:paraId="44481454" w14:textId="77777777" w:rsidR="00B47BA6" w:rsidRPr="00BD4236" w:rsidRDefault="00B47BA6" w:rsidP="00B47BA6">
      <w:r w:rsidRPr="00BD4236">
        <w:t>Attribution-Non-Commercial CC BY-SA.</w:t>
      </w:r>
    </w:p>
    <w:p w14:paraId="1C40ADEA" w14:textId="77777777" w:rsidR="00B47BA6" w:rsidRPr="00BD4236" w:rsidRDefault="00B47BA6" w:rsidP="00B47BA6">
      <w:pPr>
        <w:rPr>
          <w:rStyle w:val="Hyperlink"/>
        </w:rPr>
      </w:pPr>
      <w:r w:rsidRPr="00BD4236">
        <w:t xml:space="preserve">This document 2018, University of Worcester. This work is made available for reuse under the terms of the Creative Commons Attribution-Non-Commercial Share Alike Licence 4.0 </w:t>
      </w:r>
      <w:r w:rsidRPr="00BD4236">
        <w:fldChar w:fldCharType="begin"/>
      </w:r>
      <w:r w:rsidRPr="00BD4236">
        <w:instrText xml:space="preserve"> HYPERLINK "http://creativecommons.org/licenses/by-nc-sa/4.0/" \o "Creative Commons Licence" </w:instrText>
      </w:r>
      <w:r w:rsidRPr="00BD4236">
        <w:fldChar w:fldCharType="separate"/>
      </w:r>
      <w:r w:rsidRPr="00BD4236">
        <w:rPr>
          <w:rStyle w:val="Hyperlink"/>
        </w:rPr>
        <w:t>http://creativecommons.org/licenses/by-nc-sa/4.0/</w:t>
      </w:r>
    </w:p>
    <w:p w14:paraId="785CA3D9" w14:textId="77777777" w:rsidR="00B47BA6" w:rsidRDefault="00B47BA6" w:rsidP="00B47BA6">
      <w:r w:rsidRPr="00BD4236">
        <w:fldChar w:fldCharType="end"/>
      </w:r>
    </w:p>
    <w:sectPr w:rsidR="00B47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471FC"/>
    <w:multiLevelType w:val="hybridMultilevel"/>
    <w:tmpl w:val="56FA3952"/>
    <w:lvl w:ilvl="0" w:tplc="7F508252">
      <w:start w:val="1"/>
      <w:numFmt w:val="bullet"/>
      <w:lvlText w:val=""/>
      <w:lvlJc w:val="left"/>
      <w:pPr>
        <w:ind w:left="720" w:hanging="360"/>
      </w:pPr>
      <w:rPr>
        <w:rFonts w:ascii="Symbol" w:hAnsi="Symbol" w:hint="default"/>
      </w:rPr>
    </w:lvl>
    <w:lvl w:ilvl="1" w:tplc="264C95A2">
      <w:start w:val="1"/>
      <w:numFmt w:val="bullet"/>
      <w:lvlText w:val="o"/>
      <w:lvlJc w:val="left"/>
      <w:pPr>
        <w:ind w:left="1440" w:hanging="360"/>
      </w:pPr>
      <w:rPr>
        <w:rFonts w:ascii="Courier New" w:hAnsi="Courier New" w:hint="default"/>
      </w:rPr>
    </w:lvl>
    <w:lvl w:ilvl="2" w:tplc="EE04D82C">
      <w:start w:val="1"/>
      <w:numFmt w:val="bullet"/>
      <w:lvlText w:val=""/>
      <w:lvlJc w:val="left"/>
      <w:pPr>
        <w:ind w:left="2160" w:hanging="360"/>
      </w:pPr>
      <w:rPr>
        <w:rFonts w:ascii="Wingdings" w:hAnsi="Wingdings" w:hint="default"/>
      </w:rPr>
    </w:lvl>
    <w:lvl w:ilvl="3" w:tplc="B484DEB2">
      <w:start w:val="1"/>
      <w:numFmt w:val="bullet"/>
      <w:lvlText w:val=""/>
      <w:lvlJc w:val="left"/>
      <w:pPr>
        <w:ind w:left="2880" w:hanging="360"/>
      </w:pPr>
      <w:rPr>
        <w:rFonts w:ascii="Symbol" w:hAnsi="Symbol" w:hint="default"/>
      </w:rPr>
    </w:lvl>
    <w:lvl w:ilvl="4" w:tplc="04B280A0">
      <w:start w:val="1"/>
      <w:numFmt w:val="bullet"/>
      <w:lvlText w:val="o"/>
      <w:lvlJc w:val="left"/>
      <w:pPr>
        <w:ind w:left="3600" w:hanging="360"/>
      </w:pPr>
      <w:rPr>
        <w:rFonts w:ascii="Courier New" w:hAnsi="Courier New" w:hint="default"/>
      </w:rPr>
    </w:lvl>
    <w:lvl w:ilvl="5" w:tplc="0344BFEC">
      <w:start w:val="1"/>
      <w:numFmt w:val="bullet"/>
      <w:lvlText w:val=""/>
      <w:lvlJc w:val="left"/>
      <w:pPr>
        <w:ind w:left="4320" w:hanging="360"/>
      </w:pPr>
      <w:rPr>
        <w:rFonts w:ascii="Wingdings" w:hAnsi="Wingdings" w:hint="default"/>
      </w:rPr>
    </w:lvl>
    <w:lvl w:ilvl="6" w:tplc="55AACADE">
      <w:start w:val="1"/>
      <w:numFmt w:val="bullet"/>
      <w:lvlText w:val=""/>
      <w:lvlJc w:val="left"/>
      <w:pPr>
        <w:ind w:left="5040" w:hanging="360"/>
      </w:pPr>
      <w:rPr>
        <w:rFonts w:ascii="Symbol" w:hAnsi="Symbol" w:hint="default"/>
      </w:rPr>
    </w:lvl>
    <w:lvl w:ilvl="7" w:tplc="60D0981A">
      <w:start w:val="1"/>
      <w:numFmt w:val="bullet"/>
      <w:lvlText w:val="o"/>
      <w:lvlJc w:val="left"/>
      <w:pPr>
        <w:ind w:left="5760" w:hanging="360"/>
      </w:pPr>
      <w:rPr>
        <w:rFonts w:ascii="Courier New" w:hAnsi="Courier New" w:hint="default"/>
      </w:rPr>
    </w:lvl>
    <w:lvl w:ilvl="8" w:tplc="A58443F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756558"/>
    <w:rsid w:val="007E117A"/>
    <w:rsid w:val="00AA17AE"/>
    <w:rsid w:val="00B47BA6"/>
    <w:rsid w:val="00BD4236"/>
    <w:rsid w:val="00DB6D97"/>
    <w:rsid w:val="00E06E83"/>
    <w:rsid w:val="00E96E5F"/>
    <w:rsid w:val="00FD4C35"/>
    <w:rsid w:val="00FE250C"/>
    <w:rsid w:val="08BD73E1"/>
    <w:rsid w:val="093CBE81"/>
    <w:rsid w:val="19524AD3"/>
    <w:rsid w:val="31DCBE1F"/>
    <w:rsid w:val="3B11DEC5"/>
    <w:rsid w:val="3ECDA1C9"/>
    <w:rsid w:val="479FC555"/>
    <w:rsid w:val="47D63D51"/>
    <w:rsid w:val="4DDAE072"/>
    <w:rsid w:val="4F9CA4D6"/>
    <w:rsid w:val="56ADB3E7"/>
    <w:rsid w:val="5C6BF189"/>
    <w:rsid w:val="5FB6CAA5"/>
    <w:rsid w:val="69F2E7A1"/>
    <w:rsid w:val="7230210C"/>
    <w:rsid w:val="72F9445D"/>
    <w:rsid w:val="7395197C"/>
    <w:rsid w:val="7A61B17D"/>
    <w:rsid w:val="7DDD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E804"/>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7A"/>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E5F"/>
    <w:rPr>
      <w:rFonts w:ascii="Arial" w:eastAsiaTheme="majorEastAsia" w:hAnsi="Arial" w:cstheme="majorBidi"/>
      <w:b/>
      <w:sz w:val="28"/>
      <w:szCs w:val="32"/>
    </w:rPr>
  </w:style>
  <w:style w:type="character" w:styleId="Hyperlink">
    <w:name w:val="Hyperlink"/>
    <w:basedOn w:val="DefaultParagraphFont"/>
    <w:uiPriority w:val="99"/>
    <w:unhideWhenUsed/>
    <w:rsid w:val="007E117A"/>
    <w:rPr>
      <w:color w:val="0563C1" w:themeColor="hyperlink"/>
      <w:u w:val="single"/>
    </w:rPr>
  </w:style>
  <w:style w:type="character" w:styleId="CommentReference">
    <w:name w:val="annotation reference"/>
    <w:basedOn w:val="DefaultParagraphFont"/>
    <w:uiPriority w:val="99"/>
    <w:semiHidden/>
    <w:unhideWhenUsed/>
    <w:rsid w:val="00FD4C35"/>
    <w:rPr>
      <w:sz w:val="16"/>
      <w:szCs w:val="16"/>
    </w:rPr>
  </w:style>
  <w:style w:type="paragraph" w:styleId="CommentText">
    <w:name w:val="annotation text"/>
    <w:basedOn w:val="Normal"/>
    <w:link w:val="CommentTextChar"/>
    <w:uiPriority w:val="99"/>
    <w:semiHidden/>
    <w:unhideWhenUsed/>
    <w:rsid w:val="00FD4C35"/>
    <w:pPr>
      <w:spacing w:line="240" w:lineRule="auto"/>
    </w:pPr>
    <w:rPr>
      <w:sz w:val="20"/>
      <w:szCs w:val="20"/>
    </w:rPr>
  </w:style>
  <w:style w:type="character" w:customStyle="1" w:styleId="CommentTextChar">
    <w:name w:val="Comment Text Char"/>
    <w:basedOn w:val="DefaultParagraphFont"/>
    <w:link w:val="CommentText"/>
    <w:uiPriority w:val="99"/>
    <w:semiHidden/>
    <w:rsid w:val="00FD4C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4C35"/>
    <w:rPr>
      <w:b/>
      <w:bCs/>
    </w:rPr>
  </w:style>
  <w:style w:type="character" w:customStyle="1" w:styleId="CommentSubjectChar">
    <w:name w:val="Comment Subject Char"/>
    <w:basedOn w:val="CommentTextChar"/>
    <w:link w:val="CommentSubject"/>
    <w:uiPriority w:val="99"/>
    <w:semiHidden/>
    <w:rsid w:val="00FD4C35"/>
    <w:rPr>
      <w:rFonts w:ascii="Arial" w:hAnsi="Arial"/>
      <w:b/>
      <w:bCs/>
      <w:sz w:val="20"/>
      <w:szCs w:val="20"/>
    </w:rPr>
  </w:style>
  <w:style w:type="paragraph" w:styleId="BalloonText">
    <w:name w:val="Balloon Text"/>
    <w:basedOn w:val="Normal"/>
    <w:link w:val="BalloonTextChar"/>
    <w:uiPriority w:val="99"/>
    <w:semiHidden/>
    <w:unhideWhenUsed/>
    <w:rsid w:val="00FD4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sconnect.org.uk/articles/why-is-my-curriculum-white-decolonising-the-acade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st.org/impact/universal-design-for-learning-ud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worc.ac.uk/services/academic-staff-support/library-teaching" TargetMode="External"/><Relationship Id="rId11" Type="http://schemas.openxmlformats.org/officeDocument/2006/relationships/hyperlink" Target="https://www.plymouth.ac.uk/your-university/teaching-and-learning/inclusivity" TargetMode="External"/><Relationship Id="rId5" Type="http://schemas.openxmlformats.org/officeDocument/2006/relationships/hyperlink" Target="https://library.worc.ac.uk/guides/study-skills" TargetMode="External"/><Relationship Id="rId10" Type="http://schemas.openxmlformats.org/officeDocument/2006/relationships/hyperlink" Target="https://inclusiveteaching.leeds.ac.uk/" TargetMode="External"/><Relationship Id="rId4" Type="http://schemas.openxmlformats.org/officeDocument/2006/relationships/webSettings" Target="webSettings.xml"/><Relationship Id="rId9" Type="http://schemas.openxmlformats.org/officeDocument/2006/relationships/hyperlink" Target="https://www.ucl.ac.uk/teaching-learning/research-based-education/liberating-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Company>University of Worcester</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6</cp:revision>
  <dcterms:created xsi:type="dcterms:W3CDTF">2021-04-26T09:49:00Z</dcterms:created>
  <dcterms:modified xsi:type="dcterms:W3CDTF">2021-05-19T15:31:00Z</dcterms:modified>
</cp:coreProperties>
</file>