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90609" w:rsidP="008179E6" w:rsidRDefault="008179E6" w14:paraId="49597761" w14:textId="01AFD92C">
      <w:pPr>
        <w:jc w:val="center"/>
      </w:pPr>
      <w:r>
        <w:rPr>
          <w:noProof/>
        </w:rPr>
        <w:drawing>
          <wp:inline distT="0" distB="0" distL="0" distR="0" wp14:anchorId="522B1452" wp14:editId="4026C4E5">
            <wp:extent cx="4194000" cy="2697490"/>
            <wp:effectExtent l="0" t="0" r="0" b="7620"/>
            <wp:docPr id="1" name="Picture 1" descr="Three students walking down a corri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ree students walking down a corridor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9" b="-1"/>
                    <a:stretch/>
                  </pic:blipFill>
                  <pic:spPr bwMode="auto">
                    <a:xfrm>
                      <a:off x="0" y="0"/>
                      <a:ext cx="4194000" cy="2697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416D" w:rsidP="00E90609" w:rsidRDefault="00B5416D" w14:paraId="12685768" w14:textId="77777777"/>
    <w:p w:rsidR="00E06E83" w:rsidP="00AD46CF" w:rsidRDefault="00D70A30" w14:paraId="0D356050" w14:textId="3CE63CFC">
      <w:pPr>
        <w:pStyle w:val="Heading1"/>
      </w:pPr>
      <w:r w:rsidR="00D70A30">
        <w:rPr/>
        <w:t>A1.4</w:t>
      </w:r>
      <w:r w:rsidR="00E96E5F">
        <w:rPr/>
        <w:t xml:space="preserve"> Being inclusive in m</w:t>
      </w:r>
      <w:r w:rsidR="00D70A30">
        <w:rPr/>
        <w:t>odule and course design</w:t>
      </w:r>
    </w:p>
    <w:p w:rsidR="004E7257" w:rsidP="004E7257" w:rsidRDefault="004E7257" w14:paraId="130D0898" w14:textId="760F7400"/>
    <w:p w:rsidRPr="004E7257" w:rsidR="00D70A30" w:rsidP="4398523C" w:rsidRDefault="00D70A30" w14:paraId="06EA4E50" w14:textId="512CD8B7">
      <w:pPr>
        <w:pStyle w:val="Heading2"/>
        <w:ind w:hanging="720"/>
        <w:rPr/>
      </w:pPr>
      <w:r w:rsidR="00D70A30">
        <w:rPr/>
        <w:t xml:space="preserve">Ensure learning outcomes can be achieved by a diverse group of students </w:t>
      </w:r>
    </w:p>
    <w:p w:rsidRPr="00AD46CF" w:rsidR="00E96E5F" w:rsidP="00AD46CF" w:rsidRDefault="00E96E5F" w14:paraId="65CB0CE8" w14:textId="77777777">
      <w:pPr>
        <w:pStyle w:val="Heading3"/>
      </w:pPr>
      <w:r w:rsidRPr="00AD46CF">
        <w:t>How?</w:t>
      </w:r>
    </w:p>
    <w:p w:rsidR="00257A0E" w:rsidP="58206A30" w:rsidRDefault="00D70A30" w14:paraId="4DB67F7D" w14:textId="1750CD23">
      <w:r w:rsidRPr="00A72C50">
        <w:t>Consider whether some students might be excluded from demonstrating success</w:t>
      </w:r>
      <w:r w:rsidR="00A972AA">
        <w:t xml:space="preserve"> in the course.</w:t>
      </w:r>
      <w:r w:rsidR="00E41559">
        <w:t xml:space="preserve"> Reflect on </w:t>
      </w:r>
      <w:r w:rsidRPr="00A72C50">
        <w:t xml:space="preserve">whether the required skill, knowledge or attribute is </w:t>
      </w:r>
      <w:r w:rsidR="00E77676">
        <w:t xml:space="preserve">justifiably designated as </w:t>
      </w:r>
      <w:r w:rsidRPr="00A72C50">
        <w:t>a competence standard</w:t>
      </w:r>
      <w:r w:rsidR="00077EE8">
        <w:t xml:space="preserve">. Advance HE </w:t>
      </w:r>
      <w:r w:rsidR="00257A0E">
        <w:t>provides f</w:t>
      </w:r>
      <w:r w:rsidR="00077EE8">
        <w:t xml:space="preserve">urther information </w:t>
      </w:r>
      <w:r w:rsidR="00257A0E">
        <w:t>in this article on ‘</w:t>
      </w:r>
      <w:hyperlink w:history="1" r:id="rId9">
        <w:r w:rsidRPr="00804BA0" w:rsidR="00257A0E">
          <w:rPr>
            <w:rStyle w:val="Hyperlink"/>
          </w:rPr>
          <w:t>C</w:t>
        </w:r>
        <w:r w:rsidRPr="00804BA0" w:rsidR="00077EE8">
          <w:rPr>
            <w:rStyle w:val="Hyperlink"/>
          </w:rPr>
          <w:t>ompetence standards and reasonable adjustments</w:t>
        </w:r>
      </w:hyperlink>
      <w:r w:rsidR="00257A0E">
        <w:t xml:space="preserve">’. </w:t>
      </w:r>
    </w:p>
    <w:p w:rsidR="0093321D" w:rsidP="58206A30" w:rsidRDefault="0093321D" w14:paraId="37B75CC5" w14:textId="215642EF">
      <w:pPr>
        <w:rPr>
          <w:rFonts w:eastAsia="Calibri"/>
        </w:rPr>
      </w:pPr>
      <w:r>
        <w:rPr>
          <w:rFonts w:eastAsia="Calibri"/>
        </w:rPr>
        <w:t>You can find out more a</w:t>
      </w:r>
      <w:r w:rsidR="003E1E4C">
        <w:rPr>
          <w:rFonts w:eastAsia="Calibri"/>
        </w:rPr>
        <w:t>bout student needs and disabilities and how th</w:t>
      </w:r>
      <w:r w:rsidR="008D19CE">
        <w:rPr>
          <w:rFonts w:eastAsia="Calibri"/>
        </w:rPr>
        <w:t>ese</w:t>
      </w:r>
      <w:r w:rsidR="003E1E4C">
        <w:rPr>
          <w:rFonts w:eastAsia="Calibri"/>
        </w:rPr>
        <w:t xml:space="preserve"> relate to pedagogy and teaching methods</w:t>
      </w:r>
      <w:r w:rsidR="008D19CE">
        <w:rPr>
          <w:rFonts w:eastAsia="Calibri"/>
        </w:rPr>
        <w:t xml:space="preserve"> using </w:t>
      </w:r>
      <w:r w:rsidR="005B6BFA">
        <w:rPr>
          <w:rFonts w:eastAsia="Calibri"/>
        </w:rPr>
        <w:t xml:space="preserve">the modules developed as part of the </w:t>
      </w:r>
      <w:hyperlink w:history="1" r:id="rId10">
        <w:r w:rsidRPr="005B6BFA" w:rsidR="005B6BFA">
          <w:rPr>
            <w:rStyle w:val="Hyperlink"/>
            <w:rFonts w:eastAsia="Calibri"/>
          </w:rPr>
          <w:t>SCALE project</w:t>
        </w:r>
      </w:hyperlink>
      <w:r w:rsidR="005B6BFA">
        <w:rPr>
          <w:rFonts w:eastAsia="Calibri"/>
        </w:rPr>
        <w:t xml:space="preserve"> </w:t>
      </w:r>
      <w:r w:rsidR="00FC799D">
        <w:rPr>
          <w:rFonts w:eastAsia="Calibri"/>
        </w:rPr>
        <w:t>undertaken by</w:t>
      </w:r>
      <w:r w:rsidR="005B6BFA">
        <w:rPr>
          <w:rFonts w:eastAsia="Calibri"/>
        </w:rPr>
        <w:t xml:space="preserve"> the University</w:t>
      </w:r>
      <w:r w:rsidR="00FC799D">
        <w:rPr>
          <w:rFonts w:eastAsia="Calibri"/>
        </w:rPr>
        <w:t>.</w:t>
      </w:r>
    </w:p>
    <w:p w:rsidRPr="00A72C50" w:rsidR="00E96E5F" w:rsidP="00AD46CF" w:rsidRDefault="00E96E5F" w14:paraId="5667B9EE" w14:textId="77777777">
      <w:pPr>
        <w:pStyle w:val="Heading3"/>
      </w:pPr>
      <w:r w:rsidRPr="00A72C50">
        <w:t>Why?</w:t>
      </w:r>
    </w:p>
    <w:p w:rsidR="0046011E" w:rsidP="00D70A30" w:rsidRDefault="00D70A30" w14:paraId="6454CD87" w14:textId="56BAA87F">
      <w:r w:rsidRPr="00A72C50">
        <w:t>We have a duty under the Equality Act</w:t>
      </w:r>
      <w:r w:rsidR="00360E22">
        <w:t xml:space="preserve"> 2010</w:t>
      </w:r>
      <w:r w:rsidRPr="00A72C50">
        <w:t xml:space="preserve"> to ensure all practices are non- discriminatory, whether this is direct or indirect discrimination. If learning outcomes are likely to exclude anyone</w:t>
      </w:r>
      <w:r w:rsidR="00360E22">
        <w:t xml:space="preserve"> (e.g., </w:t>
      </w:r>
      <w:r w:rsidR="008301FE">
        <w:t>such as a</w:t>
      </w:r>
      <w:r w:rsidRPr="00A72C50">
        <w:t>cquiring a certain physical skill</w:t>
      </w:r>
      <w:r w:rsidR="008301FE">
        <w:t>)</w:t>
      </w:r>
      <w:r w:rsidRPr="00A72C50">
        <w:t>, you must ensure that the barrier is necessary. All students must have equal opportunity to participate and evidence their ability.</w:t>
      </w:r>
      <w:r w:rsidR="007A796B">
        <w:t xml:space="preserve"> </w:t>
      </w:r>
      <w:r w:rsidR="00AC1194">
        <w:t>See the Advance HE webpages for further information on</w:t>
      </w:r>
      <w:r w:rsidR="00C47E91">
        <w:t xml:space="preserve"> </w:t>
      </w:r>
      <w:hyperlink w:history="1" r:id="rId11">
        <w:r w:rsidR="00C47E91">
          <w:rPr>
            <w:rStyle w:val="Hyperlink"/>
          </w:rPr>
          <w:t>equality legislation in the UK</w:t>
        </w:r>
      </w:hyperlink>
      <w:r w:rsidR="00C47E91">
        <w:t xml:space="preserve">. </w:t>
      </w:r>
    </w:p>
    <w:p w:rsidR="004E7257" w:rsidP="00D70A30" w:rsidRDefault="004E7257" w14:paraId="14A3D264" w14:textId="6BCAFF0C"/>
    <w:p w:rsidRPr="00A72C50" w:rsidR="004E7257" w:rsidP="00D70A30" w:rsidRDefault="004E7257" w14:paraId="65A75C74" w14:textId="77777777"/>
    <w:p w:rsidR="00111A16" w:rsidP="00D70A30" w:rsidRDefault="00111A16" w14:paraId="1397D8A3" w14:textId="2EC8CC19"/>
    <w:p w:rsidR="00111A16" w:rsidP="00D70A30" w:rsidRDefault="00111A16" w14:paraId="22FA0319" w14:textId="6C55A4E7"/>
    <w:p w:rsidR="00936B81" w:rsidP="009F5BCA" w:rsidRDefault="009F5BCA" w14:paraId="08E3A08A" w14:textId="3E88BA1E">
      <w:pPr>
        <w:jc w:val="center"/>
      </w:pPr>
      <w:r>
        <w:rPr>
          <w:noProof/>
        </w:rPr>
        <w:lastRenderedPageBreak/>
        <w:drawing>
          <wp:inline distT="0" distB="0" distL="0" distR="0" wp14:anchorId="1E58DD8D" wp14:editId="04B00215">
            <wp:extent cx="4193504" cy="2698913"/>
            <wp:effectExtent l="0" t="0" r="0" b="6350"/>
            <wp:docPr id="6" name="Picture 6" descr="Smaller arrows pointing towards a bigger arrow, all pointing in the same dir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maller arrows pointing towards a bigger arrow, all pointing in the same direction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7" b="8"/>
                    <a:stretch/>
                  </pic:blipFill>
                  <pic:spPr bwMode="auto">
                    <a:xfrm>
                      <a:off x="0" y="0"/>
                      <a:ext cx="4193540" cy="2698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B81" w:rsidP="00D70A30" w:rsidRDefault="00936B81" w14:paraId="570C2C1E" w14:textId="77777777"/>
    <w:p w:rsidRPr="00111A16" w:rsidR="00D70A30" w:rsidP="4398523C" w:rsidRDefault="00D70A30" w14:paraId="4D8C98DA" w14:textId="29FAC3D5">
      <w:pPr>
        <w:pStyle w:val="Heading2"/>
        <w:ind w:hanging="720"/>
        <w:rPr/>
      </w:pPr>
      <w:r w:rsidR="00D70A30">
        <w:rPr/>
        <w:t>Write learning outcomes clearly</w:t>
      </w:r>
    </w:p>
    <w:p w:rsidRPr="00A72C50" w:rsidR="00E96E5F" w:rsidP="00AD46CF" w:rsidRDefault="00E96E5F" w14:paraId="25D0B731" w14:textId="77777777">
      <w:pPr>
        <w:pStyle w:val="Heading3"/>
      </w:pPr>
      <w:r w:rsidRPr="00A72C50">
        <w:t>How?</w:t>
      </w:r>
    </w:p>
    <w:p w:rsidR="003534B9" w:rsidP="00E96E5F" w:rsidRDefault="00EF6F85" w14:paraId="35D23672" w14:textId="0B261C1F">
      <w:r>
        <w:t xml:space="preserve">Refer to the University guide to </w:t>
      </w:r>
      <w:hyperlink w:history="1" r:id="rId13">
        <w:r w:rsidRPr="00EF6F85">
          <w:rPr>
            <w:rStyle w:val="Hyperlink"/>
          </w:rPr>
          <w:t>writing learning outco</w:t>
        </w:r>
        <w:r w:rsidRPr="00EF6F85">
          <w:rPr>
            <w:rStyle w:val="Hyperlink"/>
          </w:rPr>
          <w:t>m</w:t>
        </w:r>
        <w:r w:rsidRPr="00EF6F85">
          <w:rPr>
            <w:rStyle w:val="Hyperlink"/>
          </w:rPr>
          <w:t>es</w:t>
        </w:r>
      </w:hyperlink>
      <w:r w:rsidR="00082C41">
        <w:t xml:space="preserve"> and </w:t>
      </w:r>
      <w:r w:rsidR="00625544">
        <w:t xml:space="preserve">ensure </w:t>
      </w:r>
      <w:r w:rsidR="00757BE4">
        <w:t>the course handbook is</w:t>
      </w:r>
      <w:r w:rsidR="00625544">
        <w:t xml:space="preserve"> clear </w:t>
      </w:r>
      <w:r w:rsidR="00757BE4">
        <w:t xml:space="preserve">on </w:t>
      </w:r>
      <w:r w:rsidR="00625544">
        <w:t>how these will be assessed</w:t>
      </w:r>
      <w:r w:rsidR="00757BE4">
        <w:t xml:space="preserve"> </w:t>
      </w:r>
      <w:r>
        <w:t xml:space="preserve">.  </w:t>
      </w:r>
    </w:p>
    <w:p w:rsidRPr="00A72C50" w:rsidR="00E96E5F" w:rsidP="00425CAE" w:rsidRDefault="00E96E5F" w14:paraId="3F8B5A78" w14:textId="67FCCF2E">
      <w:pPr>
        <w:pStyle w:val="Heading3"/>
      </w:pPr>
      <w:r w:rsidRPr="00A72C50">
        <w:t>Why?</w:t>
      </w:r>
    </w:p>
    <w:p w:rsidR="00D70A30" w:rsidP="00D70A30" w:rsidRDefault="00C5247A" w14:paraId="601A84F5" w14:textId="63F17458">
      <w:r>
        <w:t>Your</w:t>
      </w:r>
      <w:r w:rsidRPr="00A72C50">
        <w:t xml:space="preserve"> cohort may include </w:t>
      </w:r>
      <w:r>
        <w:t>students with specific learning differences (</w:t>
      </w:r>
      <w:proofErr w:type="spellStart"/>
      <w:r>
        <w:t>SpLDs</w:t>
      </w:r>
      <w:proofErr w:type="spellEnd"/>
      <w:r>
        <w:t>)</w:t>
      </w:r>
      <w:r w:rsidRPr="00A72C50">
        <w:t xml:space="preserve"> or students for whom English is not their first language</w:t>
      </w:r>
      <w:r>
        <w:t xml:space="preserve"> so ensure learning outcomes are clearly defined and unambiguous. </w:t>
      </w:r>
      <w:r w:rsidRPr="00A72C50" w:rsidR="00D70A30">
        <w:t>If students understand the learning outcomes</w:t>
      </w:r>
      <w:r w:rsidR="00EF6F85">
        <w:t xml:space="preserve">, they will </w:t>
      </w:r>
      <w:r w:rsidR="009A27F4">
        <w:t xml:space="preserve">be able to understand </w:t>
      </w:r>
      <w:r w:rsidR="008D355A">
        <w:t>better</w:t>
      </w:r>
      <w:r w:rsidR="008D355A">
        <w:t xml:space="preserve"> </w:t>
      </w:r>
      <w:r w:rsidR="009A27F4">
        <w:t xml:space="preserve">how they relate to the </w:t>
      </w:r>
      <w:r w:rsidR="00082C41">
        <w:t>course content and assessments.</w:t>
      </w:r>
      <w:r w:rsidR="009A27F4">
        <w:t xml:space="preserve"> </w:t>
      </w:r>
      <w:r w:rsidR="00EF6F85">
        <w:t xml:space="preserve"> </w:t>
      </w:r>
    </w:p>
    <w:p w:rsidRPr="00A72C50" w:rsidR="00111A16" w:rsidP="00D70A30" w:rsidRDefault="00111A16" w14:paraId="7E88579F" w14:textId="77777777">
      <w:pPr>
        <w:rPr>
          <w:b/>
        </w:rPr>
      </w:pPr>
    </w:p>
    <w:p w:rsidRPr="00111A16" w:rsidR="00D70A30" w:rsidP="4398523C" w:rsidRDefault="00D70A30" w14:paraId="60632FA2" w14:textId="0CE87BDA">
      <w:pPr>
        <w:pStyle w:val="Heading2"/>
        <w:ind w:hanging="720"/>
        <w:rPr/>
      </w:pPr>
      <w:r w:rsidR="00D70A30">
        <w:rPr/>
        <w:t>Specify key learning outcomes in course and module promotional material</w:t>
      </w:r>
    </w:p>
    <w:p w:rsidRPr="00A72C50" w:rsidR="00E96E5F" w:rsidP="00AD46CF" w:rsidRDefault="00E96E5F" w14:paraId="58274213" w14:textId="77777777">
      <w:pPr>
        <w:pStyle w:val="Heading3"/>
      </w:pPr>
      <w:r w:rsidRPr="00A72C50">
        <w:t>How?</w:t>
      </w:r>
    </w:p>
    <w:p w:rsidRPr="00A72C50" w:rsidR="00D70A30" w:rsidP="00D70A30" w:rsidRDefault="00D70A30" w14:paraId="751EC624" w14:textId="10A52AA4">
      <w:r w:rsidRPr="00A72C50">
        <w:t>Ensure this</w:t>
      </w:r>
      <w:r w:rsidR="00272A17">
        <w:t xml:space="preserve"> information</w:t>
      </w:r>
      <w:r w:rsidRPr="00A72C50">
        <w:t xml:space="preserve"> is </w:t>
      </w:r>
      <w:r w:rsidR="008D355A">
        <w:t xml:space="preserve">made </w:t>
      </w:r>
      <w:r w:rsidRPr="00A72C50">
        <w:t>available to prospective students</w:t>
      </w:r>
      <w:r w:rsidR="00272A17">
        <w:t>.</w:t>
      </w:r>
    </w:p>
    <w:p w:rsidRPr="00A72C50" w:rsidR="00E96E5F" w:rsidP="00AD46CF" w:rsidRDefault="00E96E5F" w14:paraId="38A43ADB" w14:textId="77777777">
      <w:pPr>
        <w:pStyle w:val="Heading3"/>
      </w:pPr>
      <w:r w:rsidRPr="00A72C50">
        <w:t>Why?</w:t>
      </w:r>
    </w:p>
    <w:p w:rsidR="00D70A30" w:rsidP="00D70A30" w:rsidRDefault="00D70A30" w14:paraId="0F72AD11" w14:textId="2B617E7E">
      <w:r w:rsidRPr="00A72C50">
        <w:t>Students need to be able to make</w:t>
      </w:r>
      <w:r w:rsidR="00272A17">
        <w:t xml:space="preserve"> an</w:t>
      </w:r>
      <w:r w:rsidRPr="00A72C50">
        <w:t xml:space="preserve"> informed choice about the</w:t>
      </w:r>
      <w:r w:rsidRPr="00A72C50">
        <w:rPr>
          <w:b/>
        </w:rPr>
        <w:t xml:space="preserve"> </w:t>
      </w:r>
      <w:r w:rsidRPr="00A72C50">
        <w:t>suitability of the course or module</w:t>
      </w:r>
      <w:r w:rsidR="00272A17">
        <w:t>. If t</w:t>
      </w:r>
      <w:r w:rsidRPr="00A72C50">
        <w:t>here are genuine competency standards w</w:t>
      </w:r>
      <w:r w:rsidR="006678C2">
        <w:t xml:space="preserve">here reasonable adjustments cannot be made, this </w:t>
      </w:r>
      <w:r w:rsidRPr="00A72C50">
        <w:t xml:space="preserve">may pose </w:t>
      </w:r>
      <w:r w:rsidR="00E9412F">
        <w:t>difficulties</w:t>
      </w:r>
      <w:r w:rsidRPr="00A72C50">
        <w:t xml:space="preserve"> for some disabled students.</w:t>
      </w:r>
    </w:p>
    <w:p w:rsidR="00111A16" w:rsidP="00D70A30" w:rsidRDefault="00111A16" w14:paraId="7B531913" w14:textId="77777777">
      <w:pPr>
        <w:rPr>
          <w:b/>
        </w:rPr>
      </w:pPr>
    </w:p>
    <w:p w:rsidR="00936B81" w:rsidP="00D70A30" w:rsidRDefault="00936B81" w14:paraId="2E56D3E6" w14:textId="77777777">
      <w:pPr>
        <w:rPr>
          <w:b/>
        </w:rPr>
      </w:pPr>
    </w:p>
    <w:p w:rsidR="00936B81" w:rsidP="00FE32FB" w:rsidRDefault="00506EA7" w14:paraId="6A5C0B54" w14:textId="4DF5327E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529EF3FF" wp14:editId="66D9CE4F">
            <wp:extent cx="4196994" cy="2700000"/>
            <wp:effectExtent l="0" t="0" r="0" b="5715"/>
            <wp:docPr id="8" name="Picture 8" descr="Coloured pins pinned on a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oloured pins pinned on a calendar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3548"/>
                    <a:stretch/>
                  </pic:blipFill>
                  <pic:spPr bwMode="auto">
                    <a:xfrm>
                      <a:off x="0" y="0"/>
                      <a:ext cx="4196994" cy="27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A72C50" w:rsidR="00936B81" w:rsidP="00D70A30" w:rsidRDefault="00936B81" w14:paraId="4F0A3909" w14:textId="77777777">
      <w:pPr>
        <w:rPr>
          <w:b/>
        </w:rPr>
      </w:pPr>
    </w:p>
    <w:p w:rsidRPr="00111A16" w:rsidR="00E96E5F" w:rsidP="4398523C" w:rsidRDefault="00D70A30" w14:paraId="11E363CC" w14:textId="0BECC1E0">
      <w:pPr>
        <w:pStyle w:val="Heading2"/>
        <w:ind w:hanging="720"/>
        <w:rPr/>
      </w:pPr>
      <w:r w:rsidR="00D70A30">
        <w:rPr/>
        <w:t>Stagger assessment deadlines</w:t>
      </w:r>
    </w:p>
    <w:p w:rsidRPr="00A72C50" w:rsidR="00E96E5F" w:rsidP="00AD46CF" w:rsidRDefault="00E96E5F" w14:paraId="5B785263" w14:textId="77777777">
      <w:pPr>
        <w:pStyle w:val="Heading3"/>
      </w:pPr>
      <w:r w:rsidRPr="00A72C50">
        <w:t>How?</w:t>
      </w:r>
    </w:p>
    <w:p w:rsidRPr="00A72C50" w:rsidR="00E96E5F" w:rsidP="00E96E5F" w:rsidRDefault="00D70A30" w14:paraId="31FD9288" w14:textId="0DA99247">
      <w:r w:rsidRPr="00A72C50">
        <w:t xml:space="preserve">Ensure that deadlines are not tightly bunched </w:t>
      </w:r>
      <w:r w:rsidR="00D935CD">
        <w:t xml:space="preserve">together </w:t>
      </w:r>
      <w:r w:rsidRPr="00A72C50">
        <w:t>at particular times of year.</w:t>
      </w:r>
    </w:p>
    <w:p w:rsidRPr="00A72C50" w:rsidR="00E96E5F" w:rsidP="00AD46CF" w:rsidRDefault="00E96E5F" w14:paraId="67EB3AD4" w14:textId="77777777">
      <w:pPr>
        <w:pStyle w:val="Heading3"/>
      </w:pPr>
      <w:r w:rsidRPr="00A72C50">
        <w:t>Why?</w:t>
      </w:r>
    </w:p>
    <w:p w:rsidR="00295001" w:rsidP="00D70A30" w:rsidRDefault="00D70A30" w14:paraId="4D77CDF6" w14:textId="430511E8">
      <w:r w:rsidRPr="00A72C50">
        <w:t>Many students’ personal circumstances and learning styles mean that they</w:t>
      </w:r>
      <w:r w:rsidR="00D935CD">
        <w:t xml:space="preserve"> can</w:t>
      </w:r>
      <w:r w:rsidRPr="00A72C50">
        <w:t xml:space="preserve"> struggle to manage their time</w:t>
      </w:r>
      <w:r w:rsidR="009E31EE">
        <w:t xml:space="preserve"> and work on multiple </w:t>
      </w:r>
      <w:r w:rsidR="006B4A65">
        <w:t xml:space="preserve">projects </w:t>
      </w:r>
      <w:r w:rsidR="008D355A">
        <w:t>simultaneously</w:t>
      </w:r>
      <w:r w:rsidR="006B4A65">
        <w:t xml:space="preserve">. These difficulties can be exacerbated by the </w:t>
      </w:r>
      <w:r w:rsidRPr="00A72C50">
        <w:t xml:space="preserve">additional impact of stress when </w:t>
      </w:r>
      <w:r w:rsidR="009E31EE">
        <w:t>there are several deadlines clustered closely together</w:t>
      </w:r>
      <w:r w:rsidRPr="00A72C50">
        <w:t xml:space="preserve">. Staggered deadlines help students to </w:t>
      </w:r>
      <w:r w:rsidR="00257FD1">
        <w:t>organise their time</w:t>
      </w:r>
      <w:r w:rsidR="00DD00DE">
        <w:t xml:space="preserve"> more</w:t>
      </w:r>
      <w:r w:rsidR="00257FD1">
        <w:t xml:space="preserve"> efficiently. </w:t>
      </w:r>
    </w:p>
    <w:p w:rsidR="00295001" w:rsidP="00D70A30" w:rsidRDefault="00295001" w14:paraId="15FC2FD3" w14:textId="06C374DE"/>
    <w:p w:rsidRPr="00111A16" w:rsidR="00E96E5F" w:rsidP="4398523C" w:rsidRDefault="00D70A30" w14:paraId="685C41A5" w14:textId="4D317885">
      <w:pPr>
        <w:pStyle w:val="Heading2"/>
        <w:ind w:hanging="720"/>
        <w:rPr/>
      </w:pPr>
      <w:r w:rsidR="00D70A30">
        <w:rPr/>
        <w:t>Offer different assessment options</w:t>
      </w:r>
    </w:p>
    <w:p w:rsidRPr="00A72C50" w:rsidR="00E96E5F" w:rsidP="00AD46CF" w:rsidRDefault="00E96E5F" w14:paraId="364F3FD8" w14:textId="77777777">
      <w:pPr>
        <w:pStyle w:val="Heading3"/>
      </w:pPr>
      <w:r w:rsidRPr="00A72C50">
        <w:t>How?</w:t>
      </w:r>
    </w:p>
    <w:p w:rsidR="00B40FDB" w:rsidP="00B40FDB" w:rsidRDefault="00E20222" w14:paraId="6BBF726B" w14:textId="59B137EB">
      <w:r w:rsidR="00E20222">
        <w:rPr/>
        <w:t xml:space="preserve">Consider offering students a variety of ways to demonstrate </w:t>
      </w:r>
      <w:r w:rsidR="00E8389B">
        <w:rPr/>
        <w:t xml:space="preserve">they have achieved </w:t>
      </w:r>
      <w:r w:rsidR="00E20222">
        <w:rPr/>
        <w:t>the learning outcomes</w:t>
      </w:r>
      <w:r w:rsidR="00E8389B">
        <w:rPr/>
        <w:t xml:space="preserve">.  See the </w:t>
      </w:r>
      <w:r w:rsidR="0036050D">
        <w:rPr/>
        <w:t>Inclusion Toolkit guide</w:t>
      </w:r>
      <w:r w:rsidR="0036050D">
        <w:rPr/>
        <w:t xml:space="preserve"> </w:t>
      </w:r>
      <w:r w:rsidR="008E2100">
        <w:rPr/>
        <w:t>‘</w:t>
      </w:r>
      <w:r w:rsidR="0036050D">
        <w:rPr/>
        <w:t>A4.2 Being inclusive in designing assessments</w:t>
      </w:r>
      <w:r w:rsidR="008E2100">
        <w:rPr/>
        <w:t>’</w:t>
      </w:r>
      <w:r w:rsidR="0036050D">
        <w:rPr/>
        <w:t xml:space="preserve"> for fu</w:t>
      </w:r>
      <w:r w:rsidR="0036050D">
        <w:rPr/>
        <w:t>rther information</w:t>
      </w:r>
      <w:r w:rsidR="00B40FDB">
        <w:rPr/>
        <w:t xml:space="preserve"> on how to achieve this.</w:t>
      </w:r>
    </w:p>
    <w:p w:rsidRPr="00A72C50" w:rsidR="00E96E5F" w:rsidP="00B40FDB" w:rsidRDefault="00E96E5F" w14:paraId="5386A5ED" w14:textId="6806E656">
      <w:pPr>
        <w:pStyle w:val="Heading3"/>
      </w:pPr>
      <w:r w:rsidRPr="00A72C50">
        <w:t>Why?</w:t>
      </w:r>
    </w:p>
    <w:p w:rsidRPr="00A72C50" w:rsidR="00E20222" w:rsidP="00E20222" w:rsidRDefault="00B40FDB" w14:paraId="6F986843" w14:textId="3F98BA0F">
      <w:r w:rsidRPr="00A72C50">
        <w:t xml:space="preserve">Allowing all students a choice will enable them to choose </w:t>
      </w:r>
      <w:r>
        <w:t xml:space="preserve">assessment </w:t>
      </w:r>
      <w:r w:rsidRPr="00A72C50">
        <w:t xml:space="preserve">options </w:t>
      </w:r>
      <w:r>
        <w:t xml:space="preserve">which </w:t>
      </w:r>
      <w:r w:rsidRPr="00A72C50">
        <w:t>suit their skills and learning style.</w:t>
      </w:r>
      <w:r>
        <w:t xml:space="preserve"> </w:t>
      </w:r>
      <w:r w:rsidRPr="00A72C50" w:rsidR="00E20222">
        <w:t xml:space="preserve">This will </w:t>
      </w:r>
      <w:r>
        <w:t xml:space="preserve">also </w:t>
      </w:r>
      <w:r w:rsidRPr="00A72C50" w:rsidR="00E20222">
        <w:t xml:space="preserve">reduce the need to design alternative assessments </w:t>
      </w:r>
      <w:r w:rsidR="008D355A">
        <w:t>ad hoc as part of</w:t>
      </w:r>
      <w:r w:rsidRPr="00A72C50" w:rsidR="00E20222">
        <w:t xml:space="preserve"> reasonable adjustment</w:t>
      </w:r>
      <w:r w:rsidR="008D355A">
        <w:t>s</w:t>
      </w:r>
      <w:r w:rsidRPr="00A72C50" w:rsidR="00E20222">
        <w:t xml:space="preserve"> for disabled students</w:t>
      </w:r>
      <w:r>
        <w:t xml:space="preserve">. </w:t>
      </w:r>
    </w:p>
    <w:p w:rsidR="00295001" w:rsidP="58206A30" w:rsidRDefault="00295001" w14:paraId="710BC28C" w14:textId="77777777">
      <w:pPr>
        <w:rPr>
          <w:rFonts w:eastAsia="Calibri"/>
          <w:color w:val="000000" w:themeColor="text1"/>
        </w:rPr>
      </w:pPr>
    </w:p>
    <w:p w:rsidR="00936B81" w:rsidP="58206A30" w:rsidRDefault="00936B81" w14:paraId="4A5B46C7" w14:textId="77777777">
      <w:pPr>
        <w:rPr>
          <w:rFonts w:eastAsia="Calibri"/>
          <w:color w:val="000000" w:themeColor="text1"/>
        </w:rPr>
      </w:pPr>
    </w:p>
    <w:p w:rsidR="00936B81" w:rsidP="58206A30" w:rsidRDefault="00936B81" w14:paraId="4E3B92F8" w14:textId="77777777">
      <w:pPr>
        <w:rPr>
          <w:rFonts w:eastAsia="Calibri"/>
          <w:color w:val="000000" w:themeColor="text1"/>
        </w:rPr>
      </w:pPr>
    </w:p>
    <w:p w:rsidR="00936B81" w:rsidP="00CB5C19" w:rsidRDefault="00C41B44" w14:paraId="410F3C75" w14:textId="28A4888E">
      <w:pPr>
        <w:jc w:val="center"/>
        <w:rPr>
          <w:rFonts w:eastAsia="Calibri"/>
          <w:color w:val="000000" w:themeColor="text1"/>
        </w:rPr>
      </w:pPr>
      <w:r>
        <w:rPr>
          <w:rFonts w:eastAsia="Calibri"/>
          <w:noProof/>
          <w:color w:val="000000" w:themeColor="text1"/>
        </w:rPr>
        <w:lastRenderedPageBreak/>
        <w:drawing>
          <wp:inline distT="0" distB="0" distL="0" distR="0" wp14:anchorId="4B178767" wp14:editId="011B5DF7">
            <wp:extent cx="4192775" cy="2699181"/>
            <wp:effectExtent l="0" t="0" r="0" b="6350"/>
            <wp:docPr id="11" name="Picture 11" descr="Wooden jigsaw pie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Wooden jigsaw pieces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" t="2838" r="-21" b="570"/>
                    <a:stretch/>
                  </pic:blipFill>
                  <pic:spPr bwMode="auto">
                    <a:xfrm>
                      <a:off x="0" y="0"/>
                      <a:ext cx="4194000" cy="2699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A72C50" w:rsidR="00936B81" w:rsidP="58206A30" w:rsidRDefault="00936B81" w14:paraId="4BB1B917" w14:textId="77777777">
      <w:pPr>
        <w:rPr>
          <w:rFonts w:eastAsia="Calibri"/>
          <w:color w:val="000000" w:themeColor="text1"/>
        </w:rPr>
      </w:pPr>
    </w:p>
    <w:p w:rsidRPr="00295001" w:rsidR="00E96E5F" w:rsidP="4398523C" w:rsidRDefault="003646BA" w14:paraId="19CBAB5C" w14:textId="4FCE6680">
      <w:pPr>
        <w:pStyle w:val="Heading2"/>
        <w:ind w:hanging="720"/>
        <w:rPr/>
      </w:pPr>
      <w:r w:rsidR="003646BA">
        <w:rPr/>
        <w:t>Provide an overview of the course or module</w:t>
      </w:r>
    </w:p>
    <w:p w:rsidRPr="00A72C50" w:rsidR="00E96E5F" w:rsidP="00AD46CF" w:rsidRDefault="00E96E5F" w14:paraId="35799F92" w14:textId="77777777">
      <w:pPr>
        <w:pStyle w:val="Heading3"/>
      </w:pPr>
      <w:r w:rsidRPr="00A72C50">
        <w:t>How?</w:t>
      </w:r>
    </w:p>
    <w:p w:rsidRPr="00A72C50" w:rsidR="00E96E5F" w:rsidP="00E96E5F" w:rsidRDefault="00F634B5" w14:paraId="15EB71E4" w14:textId="435A13B5">
      <w:r>
        <w:t>Se</w:t>
      </w:r>
      <w:r w:rsidRPr="00A72C50" w:rsidR="003646BA">
        <w:t>t out</w:t>
      </w:r>
      <w:r>
        <w:t xml:space="preserve"> an</w:t>
      </w:r>
      <w:r w:rsidRPr="00A72C50" w:rsidR="003646BA">
        <w:t xml:space="preserve"> overview of the course</w:t>
      </w:r>
      <w:r w:rsidR="008D355A">
        <w:t xml:space="preserve"> or </w:t>
      </w:r>
      <w:r w:rsidRPr="00A72C50" w:rsidR="003646BA">
        <w:t>module content and learning activities so that students know what</w:t>
      </w:r>
      <w:r w:rsidR="008D355A">
        <w:t xml:space="preserve"> is</w:t>
      </w:r>
      <w:r w:rsidRPr="00A72C50" w:rsidR="003646BA">
        <w:t xml:space="preserve"> coming.</w:t>
      </w:r>
      <w:r>
        <w:t xml:space="preserve"> Include this in the course or module handbook.</w:t>
      </w:r>
    </w:p>
    <w:p w:rsidRPr="00A72C50" w:rsidR="00E96E5F" w:rsidP="00AD46CF" w:rsidRDefault="00E96E5F" w14:paraId="047D071B" w14:textId="77777777">
      <w:pPr>
        <w:pStyle w:val="Heading3"/>
      </w:pPr>
      <w:r w:rsidRPr="00A72C50">
        <w:t>Why?</w:t>
      </w:r>
    </w:p>
    <w:p w:rsidR="00E96E5F" w:rsidP="00E96E5F" w:rsidRDefault="0028053F" w14:paraId="4B865107" w14:textId="5378928B">
      <w:r w:rsidRPr="00A72C50">
        <w:t xml:space="preserve">Some students will benefit greatly from having a visual representation of how the content fits together. </w:t>
      </w:r>
      <w:r>
        <w:t xml:space="preserve">Showing how the content covered in the course or module </w:t>
      </w:r>
      <w:r w:rsidR="008D355A">
        <w:t>is linked</w:t>
      </w:r>
      <w:r>
        <w:t xml:space="preserve"> will h</w:t>
      </w:r>
      <w:r w:rsidRPr="00A72C50" w:rsidR="003646BA">
        <w:t>elp students to embed their learning</w:t>
      </w:r>
      <w:r>
        <w:t xml:space="preserve"> and help them to organise their revision.</w:t>
      </w:r>
    </w:p>
    <w:p w:rsidRPr="00A72C50" w:rsidR="00295001" w:rsidP="00E96E5F" w:rsidRDefault="00295001" w14:paraId="6AAE9ACF" w14:textId="77777777"/>
    <w:p w:rsidRPr="00295001" w:rsidR="00E96E5F" w:rsidP="4398523C" w:rsidRDefault="003646BA" w14:paraId="6554FF59" w14:textId="39C48321">
      <w:pPr>
        <w:pStyle w:val="Heading2"/>
        <w:ind w:hanging="720"/>
        <w:rPr/>
      </w:pPr>
      <w:r w:rsidR="003646BA">
        <w:rPr/>
        <w:t xml:space="preserve">Be flexible </w:t>
      </w:r>
      <w:r w:rsidR="0028053F">
        <w:rPr/>
        <w:t xml:space="preserve">in order </w:t>
      </w:r>
      <w:r w:rsidR="003646BA">
        <w:rPr/>
        <w:t>to meet student needs</w:t>
      </w:r>
    </w:p>
    <w:p w:rsidRPr="00A72C50" w:rsidR="00E96E5F" w:rsidP="00AD46CF" w:rsidRDefault="00E96E5F" w14:paraId="08D4E95B" w14:textId="77777777">
      <w:pPr>
        <w:pStyle w:val="Heading3"/>
      </w:pPr>
      <w:r w:rsidRPr="00A72C50">
        <w:t>How?</w:t>
      </w:r>
    </w:p>
    <w:p w:rsidRPr="00A72C50" w:rsidR="00E96E5F" w:rsidP="00E96E5F" w:rsidRDefault="003646BA" w14:paraId="6B08EA60" w14:textId="25DEF5A3">
      <w:r w:rsidRPr="00A72C50">
        <w:t xml:space="preserve">Ensure you have clear policies and procedures for students to follow if they can’t attend </w:t>
      </w:r>
      <w:r w:rsidR="00DE7A32">
        <w:t>a</w:t>
      </w:r>
      <w:r w:rsidR="00610617">
        <w:t xml:space="preserve"> </w:t>
      </w:r>
      <w:r w:rsidR="00DE7A32">
        <w:t>session</w:t>
      </w:r>
      <w:r w:rsidR="0028053F">
        <w:t>. M</w:t>
      </w:r>
      <w:r w:rsidRPr="00A72C50">
        <w:t>ake learning materials available on the VLE so that students can catch up</w:t>
      </w:r>
      <w:r w:rsidR="00DE7A32">
        <w:t xml:space="preserve"> on what they have missed.</w:t>
      </w:r>
    </w:p>
    <w:p w:rsidRPr="00A72C50" w:rsidR="00E96E5F" w:rsidP="00AD46CF" w:rsidRDefault="00E96E5F" w14:paraId="5014460E" w14:textId="77777777">
      <w:pPr>
        <w:pStyle w:val="Heading3"/>
      </w:pPr>
      <w:r w:rsidRPr="00A72C50">
        <w:t>Why?</w:t>
      </w:r>
    </w:p>
    <w:p w:rsidR="00E96E5F" w:rsidP="00E96E5F" w:rsidRDefault="00DE7A32" w14:paraId="34D0778E" w14:textId="1C4CA4E2">
      <w:r>
        <w:t>Bear in mind</w:t>
      </w:r>
      <w:r w:rsidRPr="00A72C50" w:rsidR="003646BA">
        <w:t xml:space="preserve"> that students may not be able to attend all </w:t>
      </w:r>
      <w:r>
        <w:t xml:space="preserve">sessions </w:t>
      </w:r>
      <w:r w:rsidRPr="00A72C50" w:rsidR="003646BA">
        <w:t>and that they may sometimes be late</w:t>
      </w:r>
      <w:r>
        <w:t xml:space="preserve"> and miss some of the content</w:t>
      </w:r>
      <w:r w:rsidRPr="00A72C50" w:rsidR="003646BA">
        <w:t xml:space="preserve">. This could be due to travel difficulties, </w:t>
      </w:r>
      <w:r>
        <w:t xml:space="preserve">a </w:t>
      </w:r>
      <w:r w:rsidRPr="00A72C50" w:rsidR="003646BA">
        <w:t>medical condition or caring responsibilities</w:t>
      </w:r>
      <w:r>
        <w:t xml:space="preserve">.  </w:t>
      </w:r>
    </w:p>
    <w:p w:rsidR="00216024" w:rsidP="00E96E5F" w:rsidRDefault="00216024" w14:paraId="037DFF4B" w14:textId="77777777"/>
    <w:p w:rsidR="008F608C" w:rsidP="00E96E5F" w:rsidRDefault="008F608C" w14:paraId="63E6F5DB" w14:textId="77777777"/>
    <w:p w:rsidR="008F608C" w:rsidP="00E96E5F" w:rsidRDefault="008F608C" w14:paraId="01B6C670" w14:textId="77777777"/>
    <w:p w:rsidR="00216024" w:rsidP="00AD46CF" w:rsidRDefault="00216024" w14:paraId="038B7ED1" w14:textId="2B3F496C">
      <w:pPr>
        <w:pStyle w:val="Heading1"/>
      </w:pPr>
      <w:r>
        <w:lastRenderedPageBreak/>
        <w:t xml:space="preserve">Useful </w:t>
      </w:r>
      <w:r w:rsidR="008F608C">
        <w:t xml:space="preserve">links and </w:t>
      </w:r>
      <w:r>
        <w:t>resources</w:t>
      </w:r>
    </w:p>
    <w:p w:rsidRPr="00AD46CF" w:rsidR="00AD46CF" w:rsidP="00AD46CF" w:rsidRDefault="00AD46CF" w14:paraId="7B6B89D4" w14:textId="77777777"/>
    <w:p w:rsidR="00E90609" w:rsidP="003646BA" w:rsidRDefault="006F73EE" w14:paraId="43541CA2" w14:textId="48EC6E82">
      <w:pPr>
        <w:rPr>
          <w:rStyle w:val="eop"/>
          <w:rFonts w:cs="Arial"/>
          <w:color w:val="000000"/>
          <w:shd w:val="clear" w:color="auto" w:fill="FFFFFF"/>
        </w:rPr>
      </w:pPr>
      <w:hyperlink w:tgtFrame="_blank" w:history="1" r:id="rId20">
        <w:r w:rsidR="00F1160C">
          <w:rPr>
            <w:rStyle w:val="normaltextrun"/>
            <w:rFonts w:cs="Arial"/>
            <w:color w:val="0563C1"/>
            <w:u w:val="single"/>
            <w:shd w:val="clear" w:color="auto" w:fill="FFFFFF"/>
            <w:lang w:val="en-US"/>
          </w:rPr>
          <w:t xml:space="preserve">Competence standards and reasonable </w:t>
        </w:r>
        <w:r w:rsidR="00F1160C">
          <w:rPr>
            <w:rStyle w:val="normaltextrun"/>
            <w:rFonts w:cs="Arial"/>
            <w:color w:val="0563C1"/>
            <w:u w:val="single"/>
            <w:shd w:val="clear" w:color="auto" w:fill="FFFFFF"/>
            <w:lang w:val="en-US"/>
          </w:rPr>
          <w:t>a</w:t>
        </w:r>
        <w:r w:rsidR="00F1160C">
          <w:rPr>
            <w:rStyle w:val="normaltextrun"/>
            <w:rFonts w:cs="Arial"/>
            <w:color w:val="0563C1"/>
            <w:u w:val="single"/>
            <w:shd w:val="clear" w:color="auto" w:fill="FFFFFF"/>
            <w:lang w:val="en-US"/>
          </w:rPr>
          <w:t>djustments</w:t>
        </w:r>
      </w:hyperlink>
      <w:r w:rsidR="00F1160C">
        <w:rPr>
          <w:rStyle w:val="normaltextrun"/>
          <w:rFonts w:cs="Arial"/>
          <w:color w:val="000000"/>
          <w:shd w:val="clear" w:color="auto" w:fill="FFFFFF"/>
          <w:lang w:val="en-US"/>
        </w:rPr>
        <w:t>, Advance HE</w:t>
      </w:r>
      <w:r w:rsidR="00F1160C">
        <w:rPr>
          <w:rStyle w:val="eop"/>
          <w:rFonts w:cs="Arial"/>
          <w:color w:val="000000"/>
          <w:shd w:val="clear" w:color="auto" w:fill="FFFFFF"/>
        </w:rPr>
        <w:t> </w:t>
      </w:r>
    </w:p>
    <w:p w:rsidR="001D2194" w:rsidP="003646BA" w:rsidRDefault="001D2194" w14:paraId="1794939D" w14:textId="77777777">
      <w:pPr>
        <w:rPr>
          <w:rStyle w:val="eop"/>
          <w:rFonts w:cs="Arial"/>
          <w:color w:val="000000"/>
          <w:shd w:val="clear" w:color="auto" w:fill="FFFFFF"/>
        </w:rPr>
      </w:pPr>
      <w:hyperlink w:tgtFrame="_blank" w:history="1" r:id="rId21">
        <w:r>
          <w:rPr>
            <w:rStyle w:val="normaltextrun"/>
            <w:rFonts w:cs="Arial"/>
            <w:color w:val="0563C1"/>
            <w:u w:val="single"/>
            <w:shd w:val="clear" w:color="auto" w:fill="FFFFFF"/>
            <w:lang w:val="en-US"/>
          </w:rPr>
          <w:t>Creating an inclusive learner</w:t>
        </w:r>
        <w:r>
          <w:rPr>
            <w:rStyle w:val="normaltextrun"/>
            <w:rFonts w:cs="Arial"/>
            <w:color w:val="0563C1"/>
            <w:u w:val="single"/>
            <w:shd w:val="clear" w:color="auto" w:fill="FFFFFF"/>
            <w:lang w:val="en-US"/>
          </w:rPr>
          <w:t xml:space="preserve"> </w:t>
        </w:r>
        <w:r>
          <w:rPr>
            <w:rStyle w:val="normaltextrun"/>
            <w:rFonts w:cs="Arial"/>
            <w:color w:val="0563C1"/>
            <w:u w:val="single"/>
            <w:shd w:val="clear" w:color="auto" w:fill="FFFFFF"/>
            <w:lang w:val="en-US"/>
          </w:rPr>
          <w:t>journey</w:t>
        </w:r>
      </w:hyperlink>
      <w:r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rStyle w:val="normaltextrun"/>
          <w:rFonts w:cs="Arial"/>
          <w:color w:val="000000"/>
          <w:shd w:val="clear" w:color="auto" w:fill="FFFFFF"/>
          <w:lang w:val="en-US"/>
        </w:rPr>
        <w:t>Jisc</w:t>
      </w:r>
      <w:proofErr w:type="spellEnd"/>
      <w:r>
        <w:rPr>
          <w:rStyle w:val="normaltextrun"/>
          <w:rFonts w:cs="Arial"/>
          <w:color w:val="000000"/>
          <w:shd w:val="clear" w:color="auto" w:fill="FFFFFF"/>
          <w:lang w:val="en-US"/>
        </w:rPr>
        <w:t>, 2021</w:t>
      </w:r>
      <w:r>
        <w:rPr>
          <w:rStyle w:val="eop"/>
          <w:rFonts w:cs="Arial"/>
          <w:color w:val="000000"/>
          <w:shd w:val="clear" w:color="auto" w:fill="FFFFFF"/>
        </w:rPr>
        <w:t> </w:t>
      </w:r>
    </w:p>
    <w:p w:rsidR="00F1160C" w:rsidP="003646BA" w:rsidRDefault="006F73EE" w14:paraId="1D6A41F9" w14:textId="15D14018">
      <w:hyperlink w:history="1" r:id="rId22">
        <w:r w:rsidRPr="00493E08" w:rsidR="00493E08">
          <w:rPr>
            <w:rStyle w:val="Hyperlink"/>
          </w:rPr>
          <w:t>Equality legis</w:t>
        </w:r>
        <w:r w:rsidRPr="00493E08" w:rsidR="00493E08">
          <w:rPr>
            <w:rStyle w:val="Hyperlink"/>
          </w:rPr>
          <w:t>l</w:t>
        </w:r>
        <w:r w:rsidRPr="00493E08" w:rsidR="00493E08">
          <w:rPr>
            <w:rStyle w:val="Hyperlink"/>
          </w:rPr>
          <w:t>ation</w:t>
        </w:r>
      </w:hyperlink>
      <w:r w:rsidR="00493E08">
        <w:t>, Advance HE</w:t>
      </w:r>
    </w:p>
    <w:p w:rsidR="00E90609" w:rsidP="003646BA" w:rsidRDefault="006F73EE" w14:paraId="5128D5DB" w14:textId="654BA1E6">
      <w:hyperlink w:tgtFrame="_blank" w:history="1" r:id="rId23">
        <w:r w:rsidR="00057A6C">
          <w:rPr>
            <w:rStyle w:val="normaltextrun"/>
            <w:rFonts w:cs="Arial"/>
            <w:color w:val="0563C1"/>
            <w:u w:val="single"/>
            <w:shd w:val="clear" w:color="auto" w:fill="FFFFFF"/>
            <w:lang w:val="en-US"/>
          </w:rPr>
          <w:t>Principles for course design: guide to writing learning outcomes and developing assessment criteria</w:t>
        </w:r>
      </w:hyperlink>
      <w:r w:rsidR="00057A6C">
        <w:rPr>
          <w:rStyle w:val="normaltextrun"/>
          <w:rFonts w:cs="Arial"/>
          <w:color w:val="000000"/>
          <w:shd w:val="clear" w:color="auto" w:fill="FFFFFF"/>
          <w:lang w:val="en-US"/>
        </w:rPr>
        <w:t>, University of Worcester</w:t>
      </w:r>
      <w:r w:rsidR="00057A6C">
        <w:rPr>
          <w:rStyle w:val="eop"/>
          <w:rFonts w:cs="Arial"/>
          <w:color w:val="000000"/>
          <w:shd w:val="clear" w:color="auto" w:fill="FFFFFF"/>
        </w:rPr>
        <w:t> </w:t>
      </w:r>
    </w:p>
    <w:p w:rsidR="00943722" w:rsidP="00943722" w:rsidRDefault="006F73EE" w14:paraId="7B7A660D" w14:textId="77777777">
      <w:hyperlink w:history="1" r:id="rId24">
        <w:r w:rsidRPr="008670A3" w:rsidR="00943722">
          <w:rPr>
            <w:rStyle w:val="Hyperlink"/>
          </w:rPr>
          <w:t>Supporting successful student transitions resources</w:t>
        </w:r>
      </w:hyperlink>
      <w:r w:rsidR="00943722">
        <w:t>, QAA, 2021</w:t>
      </w:r>
    </w:p>
    <w:p w:rsidR="00D93CCE" w:rsidP="00D93CCE" w:rsidRDefault="006F73EE" w14:paraId="69373197" w14:textId="77777777">
      <w:hyperlink w:history="1" r:id="rId25">
        <w:r w:rsidR="00D93CCE">
          <w:rPr>
            <w:rStyle w:val="Hyperlink"/>
          </w:rPr>
          <w:t>The good practice framework: supporting disabled students</w:t>
        </w:r>
      </w:hyperlink>
      <w:r w:rsidR="00D93CCE">
        <w:t>, OIA, 2017</w:t>
      </w:r>
    </w:p>
    <w:p w:rsidRPr="00A72C50" w:rsidR="00E90609" w:rsidP="003646BA" w:rsidRDefault="00E90609" w14:paraId="0C28EDF0" w14:textId="77777777"/>
    <w:p w:rsidR="00936B81" w:rsidP="00BE5585" w:rsidRDefault="00936B81" w14:paraId="23B306A1" w14:textId="77777777"/>
    <w:p w:rsidR="00936B81" w:rsidP="00BE5585" w:rsidRDefault="00936B81" w14:paraId="1FF88354" w14:textId="77777777"/>
    <w:p w:rsidR="00E6262D" w:rsidP="00BE5585" w:rsidRDefault="00E6262D" w14:paraId="4175A63D" w14:textId="77777777"/>
    <w:p w:rsidR="00E6262D" w:rsidP="00BE5585" w:rsidRDefault="00E6262D" w14:paraId="4DCB8EC7" w14:textId="77777777"/>
    <w:p w:rsidR="00E6262D" w:rsidP="00BE5585" w:rsidRDefault="00E6262D" w14:paraId="209183B2" w14:textId="77777777"/>
    <w:p w:rsidR="00E6262D" w:rsidP="00BE5585" w:rsidRDefault="00E6262D" w14:paraId="0E5A68F6" w14:textId="77777777"/>
    <w:p w:rsidR="00E6262D" w:rsidP="00BE5585" w:rsidRDefault="00E6262D" w14:paraId="71807D17" w14:textId="77777777"/>
    <w:p w:rsidR="00E6262D" w:rsidP="00BE5585" w:rsidRDefault="00E6262D" w14:paraId="1AB1F70C" w14:textId="77777777"/>
    <w:p w:rsidR="00E6262D" w:rsidP="00BE5585" w:rsidRDefault="00E6262D" w14:paraId="3C51E805" w14:textId="77777777"/>
    <w:p w:rsidR="00E6262D" w:rsidP="00BE5585" w:rsidRDefault="00E6262D" w14:paraId="620488F3" w14:textId="77777777"/>
    <w:p w:rsidR="00E6262D" w:rsidP="00BE5585" w:rsidRDefault="00E6262D" w14:paraId="14645149" w14:textId="77777777"/>
    <w:p w:rsidR="00E6262D" w:rsidP="00BE5585" w:rsidRDefault="00E6262D" w14:paraId="4BFBB16D" w14:textId="77777777"/>
    <w:p w:rsidR="00E6262D" w:rsidP="00BE5585" w:rsidRDefault="00E6262D" w14:paraId="379C7A30" w14:textId="77777777"/>
    <w:p w:rsidR="00E6262D" w:rsidP="00BE5585" w:rsidRDefault="00E6262D" w14:paraId="2BDCAFA6" w14:textId="77777777"/>
    <w:p w:rsidR="00936B81" w:rsidP="00BE5585" w:rsidRDefault="00936B81" w14:paraId="0927473C" w14:textId="77777777"/>
    <w:p w:rsidRPr="0006127A" w:rsidR="00BE5585" w:rsidP="00BE5585" w:rsidRDefault="00BE5585" w14:paraId="4734C5C0" w14:textId="1BD30303">
      <w:r w:rsidRPr="0006127A">
        <w:t xml:space="preserve">With thanks to </w:t>
      </w:r>
      <w:r>
        <w:t xml:space="preserve">colleagues at </w:t>
      </w:r>
      <w:r w:rsidRPr="0006127A">
        <w:t>the University of Leeds</w:t>
      </w:r>
      <w:r>
        <w:t xml:space="preserve"> and</w:t>
      </w:r>
      <w:r w:rsidRPr="0006127A">
        <w:t xml:space="preserve"> Plymouth University, for allowing us to use and adapt their series of guides </w:t>
      </w:r>
    </w:p>
    <w:p w:rsidRPr="0006127A" w:rsidR="00BE5585" w:rsidP="00BE5585" w:rsidRDefault="00BE5585" w14:paraId="4E9335FC" w14:textId="77777777">
      <w:r w:rsidRPr="0006127A">
        <w:t xml:space="preserve">Weblinks reviewed and updated: </w:t>
      </w:r>
      <w:r>
        <w:t xml:space="preserve">July 2022 </w:t>
      </w:r>
    </w:p>
    <w:p w:rsidRPr="0006127A" w:rsidR="00BE5585" w:rsidP="00BE5585" w:rsidRDefault="00BE5585" w14:paraId="008AD938" w14:textId="77777777">
      <w:r w:rsidRPr="0006127A">
        <w:t>Attribution-Non-Commercial CC BY-SA.</w:t>
      </w:r>
    </w:p>
    <w:p w:rsidR="003646BA" w:rsidP="00BE5585" w:rsidRDefault="00BE5585" w14:paraId="74EF429F" w14:textId="3A2070C0">
      <w:r w:rsidRPr="0006127A">
        <w:t xml:space="preserve">This document </w:t>
      </w:r>
      <w:r>
        <w:t>2022</w:t>
      </w:r>
      <w:r w:rsidRPr="0006127A">
        <w:t xml:space="preserve">, University of Worcester. This work is made available for reuse under the terms of the Creative Commons Attribution-Non-Commercial Share Alike Licence 4.0 </w:t>
      </w:r>
      <w:hyperlink w:tooltip="Creative Commons Licence" w:history="1" r:id="rId26">
        <w:r w:rsidRPr="0006127A">
          <w:rPr>
            <w:rStyle w:val="Hyperlink"/>
          </w:rPr>
          <w:t>http://creativecommons.org/licenses/by-nc-sa/4.0/</w:t>
        </w:r>
      </w:hyperlink>
    </w:p>
    <w:sectPr w:rsidR="003646BA" w:rsidSect="004E7257">
      <w:headerReference w:type="default" r:id="rId27"/>
      <w:footerReference w:type="default" r:id="rId28"/>
      <w:pgSz w:w="11906" w:h="16838" w:orient="portrait"/>
      <w:pgMar w:top="1440" w:right="1440" w:bottom="1440" w:left="144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52C8" w:rsidRDefault="009152C8" w14:paraId="4DC2AE8E" w14:textId="77777777">
      <w:pPr>
        <w:spacing w:after="0" w:line="240" w:lineRule="auto"/>
      </w:pPr>
      <w:r>
        <w:separator/>
      </w:r>
    </w:p>
  </w:endnote>
  <w:endnote w:type="continuationSeparator" w:id="0">
    <w:p w:rsidR="009152C8" w:rsidRDefault="009152C8" w14:paraId="22189E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1B94814" w:rsidP="01B94814" w:rsidRDefault="01B94814" w14:paraId="4AC68232" w14:textId="6A029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52C8" w:rsidRDefault="009152C8" w14:paraId="7E740D7C" w14:textId="77777777">
      <w:pPr>
        <w:spacing w:after="0" w:line="240" w:lineRule="auto"/>
      </w:pPr>
      <w:r>
        <w:separator/>
      </w:r>
    </w:p>
  </w:footnote>
  <w:footnote w:type="continuationSeparator" w:id="0">
    <w:p w:rsidR="009152C8" w:rsidRDefault="009152C8" w14:paraId="4D62361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1B94814" w:rsidP="01B94814" w:rsidRDefault="01B94814" w14:paraId="4A468BC3" w14:textId="73EEB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27197"/>
    <w:multiLevelType w:val="hybridMultilevel"/>
    <w:tmpl w:val="22FED390"/>
    <w:lvl w:ilvl="0" w:tplc="FC9EE356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264177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E5F"/>
    <w:rsid w:val="00025163"/>
    <w:rsid w:val="00057A6C"/>
    <w:rsid w:val="00067CFF"/>
    <w:rsid w:val="00077EE8"/>
    <w:rsid w:val="00082C41"/>
    <w:rsid w:val="00082D0F"/>
    <w:rsid w:val="00086AE8"/>
    <w:rsid w:val="000E5015"/>
    <w:rsid w:val="00111A16"/>
    <w:rsid w:val="00122FF0"/>
    <w:rsid w:val="001257C0"/>
    <w:rsid w:val="001928EA"/>
    <w:rsid w:val="001D2194"/>
    <w:rsid w:val="001E6304"/>
    <w:rsid w:val="002059D9"/>
    <w:rsid w:val="00216024"/>
    <w:rsid w:val="0025323F"/>
    <w:rsid w:val="00257A0E"/>
    <w:rsid w:val="00257FD1"/>
    <w:rsid w:val="00272A17"/>
    <w:rsid w:val="0028053F"/>
    <w:rsid w:val="0028563D"/>
    <w:rsid w:val="00295001"/>
    <w:rsid w:val="002C4ED2"/>
    <w:rsid w:val="002E2EF3"/>
    <w:rsid w:val="002E33C3"/>
    <w:rsid w:val="003329D9"/>
    <w:rsid w:val="003534B9"/>
    <w:rsid w:val="0036050D"/>
    <w:rsid w:val="00360E22"/>
    <w:rsid w:val="003646BA"/>
    <w:rsid w:val="003E1E4C"/>
    <w:rsid w:val="00425CAE"/>
    <w:rsid w:val="004303E3"/>
    <w:rsid w:val="0046011E"/>
    <w:rsid w:val="00493E08"/>
    <w:rsid w:val="004E7257"/>
    <w:rsid w:val="00506EA7"/>
    <w:rsid w:val="00526233"/>
    <w:rsid w:val="005A03E8"/>
    <w:rsid w:val="005B257C"/>
    <w:rsid w:val="005B6BFA"/>
    <w:rsid w:val="00610617"/>
    <w:rsid w:val="00624653"/>
    <w:rsid w:val="00625544"/>
    <w:rsid w:val="006678C2"/>
    <w:rsid w:val="006B4A65"/>
    <w:rsid w:val="006E3FA9"/>
    <w:rsid w:val="006F73EE"/>
    <w:rsid w:val="007562CC"/>
    <w:rsid w:val="00757BE4"/>
    <w:rsid w:val="007A796B"/>
    <w:rsid w:val="007B5CD7"/>
    <w:rsid w:val="00804BA0"/>
    <w:rsid w:val="00813147"/>
    <w:rsid w:val="008179E6"/>
    <w:rsid w:val="008301FE"/>
    <w:rsid w:val="008670A3"/>
    <w:rsid w:val="008D19CE"/>
    <w:rsid w:val="008D355A"/>
    <w:rsid w:val="008E1347"/>
    <w:rsid w:val="008E2100"/>
    <w:rsid w:val="008E7086"/>
    <w:rsid w:val="008E798E"/>
    <w:rsid w:val="008F608C"/>
    <w:rsid w:val="009152C8"/>
    <w:rsid w:val="009216B3"/>
    <w:rsid w:val="0093321D"/>
    <w:rsid w:val="00936B81"/>
    <w:rsid w:val="00943722"/>
    <w:rsid w:val="009577B3"/>
    <w:rsid w:val="009A27F4"/>
    <w:rsid w:val="009C46E3"/>
    <w:rsid w:val="009E31EE"/>
    <w:rsid w:val="009F31B0"/>
    <w:rsid w:val="009F5BCA"/>
    <w:rsid w:val="00A32E2D"/>
    <w:rsid w:val="00A43F7A"/>
    <w:rsid w:val="00A72C50"/>
    <w:rsid w:val="00A972AA"/>
    <w:rsid w:val="00AC1194"/>
    <w:rsid w:val="00AC3A48"/>
    <w:rsid w:val="00AD46CF"/>
    <w:rsid w:val="00AE02D9"/>
    <w:rsid w:val="00AE3FD6"/>
    <w:rsid w:val="00B13E0D"/>
    <w:rsid w:val="00B40FDB"/>
    <w:rsid w:val="00B5416D"/>
    <w:rsid w:val="00BB7842"/>
    <w:rsid w:val="00BE5585"/>
    <w:rsid w:val="00C41B44"/>
    <w:rsid w:val="00C47E91"/>
    <w:rsid w:val="00C5247A"/>
    <w:rsid w:val="00C5406D"/>
    <w:rsid w:val="00C71805"/>
    <w:rsid w:val="00C75A17"/>
    <w:rsid w:val="00CA41B7"/>
    <w:rsid w:val="00CB5C19"/>
    <w:rsid w:val="00CD5B9C"/>
    <w:rsid w:val="00CD6FD1"/>
    <w:rsid w:val="00D70A30"/>
    <w:rsid w:val="00D935CD"/>
    <w:rsid w:val="00D93CCE"/>
    <w:rsid w:val="00DA20DD"/>
    <w:rsid w:val="00DB29D6"/>
    <w:rsid w:val="00DB3BF5"/>
    <w:rsid w:val="00DD00DE"/>
    <w:rsid w:val="00DD33EE"/>
    <w:rsid w:val="00DD7505"/>
    <w:rsid w:val="00DE7A32"/>
    <w:rsid w:val="00DF4399"/>
    <w:rsid w:val="00E06E83"/>
    <w:rsid w:val="00E20222"/>
    <w:rsid w:val="00E40F06"/>
    <w:rsid w:val="00E41559"/>
    <w:rsid w:val="00E6262D"/>
    <w:rsid w:val="00E77676"/>
    <w:rsid w:val="00E8389B"/>
    <w:rsid w:val="00E90609"/>
    <w:rsid w:val="00E9412F"/>
    <w:rsid w:val="00E96E5F"/>
    <w:rsid w:val="00EA63E7"/>
    <w:rsid w:val="00EF6F85"/>
    <w:rsid w:val="00F1160C"/>
    <w:rsid w:val="00F2609F"/>
    <w:rsid w:val="00F634B5"/>
    <w:rsid w:val="00FC799D"/>
    <w:rsid w:val="00FE32FB"/>
    <w:rsid w:val="01B94814"/>
    <w:rsid w:val="0B85D2C9"/>
    <w:rsid w:val="0BB0F1E1"/>
    <w:rsid w:val="0E60832F"/>
    <w:rsid w:val="10229615"/>
    <w:rsid w:val="114A695F"/>
    <w:rsid w:val="1B17A11E"/>
    <w:rsid w:val="29476F5A"/>
    <w:rsid w:val="2DCF4084"/>
    <w:rsid w:val="4398523C"/>
    <w:rsid w:val="45851924"/>
    <w:rsid w:val="4C8A06C7"/>
    <w:rsid w:val="4EC83EC4"/>
    <w:rsid w:val="54E8C96E"/>
    <w:rsid w:val="58206A30"/>
    <w:rsid w:val="59109AC7"/>
    <w:rsid w:val="5CCACA33"/>
    <w:rsid w:val="65E759F4"/>
    <w:rsid w:val="6A20907C"/>
    <w:rsid w:val="6E40E3E5"/>
    <w:rsid w:val="6E85520E"/>
    <w:rsid w:val="7D52B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980D"/>
  <w15:chartTrackingRefBased/>
  <w15:docId w15:val="{01B320E8-E667-4BBC-B846-D439A76B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0F0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CF"/>
    <w:pPr>
      <w:keepNext/>
      <w:keepLines/>
      <w:spacing w:before="24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AD46CF"/>
    <w:pPr>
      <w:numPr>
        <w:numId w:val="1"/>
      </w:numPr>
      <w:ind w:hanging="720"/>
      <w:outlineLvl w:val="1"/>
    </w:pPr>
    <w:rPr>
      <w:b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AD46CF"/>
    <w:pPr>
      <w:outlineLvl w:val="2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D46CF"/>
    <w:rPr>
      <w:rFonts w:ascii="Arial" w:hAnsi="Arial" w:eastAsiaTheme="majorEastAsia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8131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6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609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2609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09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2609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260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C46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72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4ED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13E0D"/>
    <w:rPr>
      <w:color w:val="954F72" w:themeColor="followed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AD46CF"/>
    <w:rPr>
      <w:rFonts w:ascii="Arial" w:hAnsi="Arial"/>
      <w:b/>
      <w:sz w:val="24"/>
    </w:rPr>
  </w:style>
  <w:style w:type="character" w:styleId="Heading3Char" w:customStyle="1">
    <w:name w:val="Heading 3 Char"/>
    <w:basedOn w:val="DefaultParagraphFont"/>
    <w:link w:val="Heading3"/>
    <w:uiPriority w:val="9"/>
    <w:rsid w:val="00AD46CF"/>
    <w:rPr>
      <w:rFonts w:ascii="Arial" w:hAnsi="Arial" w:eastAsiaTheme="majorEastAsia" w:cstheme="majorBidi"/>
      <w:b/>
      <w:sz w:val="24"/>
      <w:szCs w:val="24"/>
    </w:rPr>
  </w:style>
  <w:style w:type="character" w:styleId="normaltextrun" w:customStyle="1">
    <w:name w:val="normaltextrun"/>
    <w:basedOn w:val="DefaultParagraphFont"/>
    <w:rsid w:val="00F1160C"/>
  </w:style>
  <w:style w:type="character" w:styleId="eop" w:customStyle="1">
    <w:name w:val="eop"/>
    <w:basedOn w:val="DefaultParagraphFont"/>
    <w:rsid w:val="00F1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5DEE2"/>
            <w:right w:val="none" w:sz="0" w:space="0" w:color="auto"/>
          </w:divBdr>
          <w:divsChild>
            <w:div w:id="17529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https://www2.worc.ac.uk/aqu/documents/LearningOutcomesGuide-PrinciplesforCourseDesign.pdf" TargetMode="External" Id="rId13" /><Relationship Type="http://schemas.openxmlformats.org/officeDocument/2006/relationships/hyperlink" Target="http://creativecommons.org/licenses/by-nc-sa/4.0/" TargetMode="External" Id="rId26" /><Relationship Type="http://schemas.openxmlformats.org/officeDocument/2006/relationships/styles" Target="styles.xml" Id="rId3" /><Relationship Type="http://schemas.openxmlformats.org/officeDocument/2006/relationships/hyperlink" Target="https://www.jisc.ac.uk/guides/creating-an-inclusive-learner-journey" TargetMode="External" Id="rId21" /><Relationship Type="http://schemas.openxmlformats.org/officeDocument/2006/relationships/endnotes" Target="endnotes.xml" Id="rId7" /><Relationship Type="http://schemas.openxmlformats.org/officeDocument/2006/relationships/image" Target="media/image2.jpeg" Id="rId12" /><Relationship Type="http://schemas.microsoft.com/office/2016/09/relationships/commentsIds" Target="commentsIds.xml" Id="rId17" /><Relationship Type="http://schemas.openxmlformats.org/officeDocument/2006/relationships/hyperlink" Target="https://www.oiahe.org.uk/media/1039/oia-good-practice-framework-supporting-disabled-students.pdf" TargetMode="External" Id="rId25" /><Relationship Type="http://schemas.openxmlformats.org/officeDocument/2006/relationships/numbering" Target="numbering.xml" Id="rId2" /><Relationship Type="http://schemas.microsoft.com/office/2011/relationships/commentsExtended" Target="commentsExtended.xml" Id="rId16" /><Relationship Type="http://schemas.openxmlformats.org/officeDocument/2006/relationships/hyperlink" Target="https://www.advance-he.ac.uk/guidance/equality-diversity-and-inclusion/student-recruitment-retention-and-attainment/inclusive-learning-and-teaching/competence-standards-and-reasonable-adjustments" TargetMode="External" Id="rId20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advance-he.ac.uk/guidance/equality-diversity-and-inclusion/equality-legislation" TargetMode="External" Id="rId11" /><Relationship Type="http://schemas.openxmlformats.org/officeDocument/2006/relationships/hyperlink" Target="https://www.membershipresources.qaa.ac.uk/teaching-learning-and-assessment/flexible-pathways-and-student-transitions/supporting-successful-student-transitions" TargetMode="External" Id="rId24" /><Relationship Type="http://schemas.openxmlformats.org/officeDocument/2006/relationships/webSettings" Target="webSettings.xml" Id="rId5" /><Relationship Type="http://schemas.openxmlformats.org/officeDocument/2006/relationships/hyperlink" Target="https://www2.worc.ac.uk/aqu/documents/LearningOutcomesGuide-PrinciplesforCourseDesign.pdf" TargetMode="External" Id="rId23" /><Relationship Type="http://schemas.openxmlformats.org/officeDocument/2006/relationships/footer" Target="footer1.xml" Id="rId28" /><Relationship Type="http://schemas.openxmlformats.org/officeDocument/2006/relationships/hyperlink" Target="https://scale.wp.worc.ac.uk/?page_id=15" TargetMode="External" Id="rId10" /><Relationship Type="http://schemas.openxmlformats.org/officeDocument/2006/relationships/image" Target="media/image4.jpeg" Id="rId19" /><Relationship Type="http://schemas.openxmlformats.org/officeDocument/2006/relationships/theme" Target="theme/theme1.xml" Id="rId31" /><Relationship Type="http://schemas.openxmlformats.org/officeDocument/2006/relationships/settings" Target="settings.xml" Id="rId4" /><Relationship Type="http://schemas.openxmlformats.org/officeDocument/2006/relationships/hyperlink" Target="https://www.advance-he.ac.uk/guidance/equality-diversity-and-inclusion/student-recruitment-retention-and-attainment/inclusive-learning-and-teaching/competence-standards-and-reasonable-adjustments" TargetMode="External" Id="rId9" /><Relationship Type="http://schemas.openxmlformats.org/officeDocument/2006/relationships/image" Target="media/image3.jpeg" Id="rId14" /><Relationship Type="http://schemas.openxmlformats.org/officeDocument/2006/relationships/hyperlink" Target="https://www.advance-he.ac.uk/guidance/equality-diversity-and-inclusion/equality-legislation" TargetMode="External" Id="rId22" /><Relationship Type="http://schemas.openxmlformats.org/officeDocument/2006/relationships/header" Target="header1.xml" Id="rId27" /><Relationship Type="http://schemas.microsoft.com/office/2011/relationships/people" Target="people.xm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12366-E2BD-4AD6-9B41-AE8B52001EE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Worcester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Carolyn Nisbet</dc:creator>
  <keywords/>
  <dc:description/>
  <lastModifiedBy>Naomi Alty</lastModifiedBy>
  <revision>115</revision>
  <dcterms:created xsi:type="dcterms:W3CDTF">2021-04-26T09:58:00.0000000Z</dcterms:created>
  <dcterms:modified xsi:type="dcterms:W3CDTF">2022-08-30T14:43:38.4242042Z</dcterms:modified>
</coreProperties>
</file>