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449AC" w:rsidP="00A653DE" w:rsidRDefault="00A653DE" w14:paraId="758A03F4" w14:textId="74AF532C">
      <w:pPr>
        <w:jc w:val="center"/>
      </w:pPr>
      <w:r>
        <w:rPr>
          <w:noProof/>
        </w:rPr>
        <w:drawing>
          <wp:inline distT="0" distB="0" distL="0" distR="0" wp14:anchorId="0516A8A3" wp14:editId="3A57EFE8">
            <wp:extent cx="4194000" cy="2700227"/>
            <wp:effectExtent l="0" t="0" r="0" b="5080"/>
            <wp:docPr id="5" name="Picture 5" descr="A student nurse in a training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tudent nurse in a training classroom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8" b="1134"/>
                    <a:stretch/>
                  </pic:blipFill>
                  <pic:spPr bwMode="auto">
                    <a:xfrm>
                      <a:off x="0" y="0"/>
                      <a:ext cx="4194000" cy="2700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9AC" w:rsidP="00A449AC" w:rsidRDefault="00A449AC" w14:paraId="436C6C6B" w14:textId="77777777"/>
    <w:p w:rsidR="00E06E83" w:rsidP="00E96E5F" w:rsidRDefault="000E4B4D" w14:paraId="4796472A" w14:textId="3FF83383">
      <w:pPr>
        <w:pStyle w:val="Heading1"/>
      </w:pPr>
      <w:r w:rsidRPr="00D50535">
        <w:t>A1.5</w:t>
      </w:r>
      <w:r w:rsidRPr="00D50535" w:rsidR="00E96E5F">
        <w:t xml:space="preserve"> Being inclusive in </w:t>
      </w:r>
      <w:r w:rsidR="00AD34F8">
        <w:t>p</w:t>
      </w:r>
      <w:r w:rsidRPr="00D50535">
        <w:t>lacements</w:t>
      </w:r>
    </w:p>
    <w:p w:rsidRPr="00E01367" w:rsidR="00E01367" w:rsidP="00E01367" w:rsidRDefault="00E01367" w14:paraId="2B5779C8" w14:textId="77777777"/>
    <w:p w:rsidRPr="00A449AC" w:rsidR="00E01367" w:rsidP="3C2A4718" w:rsidRDefault="00E01367" w14:paraId="70AD6053" w14:textId="77777777" w14:noSpellErr="1">
      <w:pPr>
        <w:pStyle w:val="Heading2"/>
        <w:ind w:hanging="720"/>
        <w:rPr/>
      </w:pPr>
      <w:r w:rsidR="00E01367">
        <w:rPr/>
        <w:t>Review course publicity materials</w:t>
      </w:r>
    </w:p>
    <w:p w:rsidRPr="00D50535" w:rsidR="00E01367" w:rsidP="00E01367" w:rsidRDefault="00E01367" w14:paraId="4655439E" w14:textId="77777777">
      <w:pPr>
        <w:pStyle w:val="Heading3"/>
      </w:pPr>
      <w:r w:rsidRPr="00D50535">
        <w:t>How?</w:t>
      </w:r>
    </w:p>
    <w:p w:rsidRPr="00D50535" w:rsidR="00E01367" w:rsidP="00E01367" w:rsidRDefault="00E01367" w14:paraId="500FDACA" w14:textId="404E0396">
      <w:r>
        <w:t>Ensure publicity i</w:t>
      </w:r>
      <w:r w:rsidRPr="00D50535">
        <w:t xml:space="preserve">nformation </w:t>
      </w:r>
      <w:r>
        <w:t>is</w:t>
      </w:r>
      <w:r w:rsidRPr="00D50535">
        <w:t xml:space="preserve"> clear about the requirements </w:t>
      </w:r>
      <w:r w:rsidR="0020214D">
        <w:t>of</w:t>
      </w:r>
      <w:r w:rsidRPr="00D50535">
        <w:t xml:space="preserve"> the course. </w:t>
      </w:r>
      <w:r w:rsidR="00242A57">
        <w:t>Where possible, describe work-based learning activities and p</w:t>
      </w:r>
      <w:r w:rsidRPr="00D50535">
        <w:t>rovide video examples of placement settings</w:t>
      </w:r>
      <w:r w:rsidR="00242A57">
        <w:t xml:space="preserve">. </w:t>
      </w:r>
      <w:r w:rsidRPr="00D50535">
        <w:t>Communicate a willingness to consider reasonable adjustments where required</w:t>
      </w:r>
      <w:r w:rsidR="00B932E9">
        <w:t xml:space="preserve"> and ensure</w:t>
      </w:r>
      <w:r>
        <w:t xml:space="preserve"> your publicity materials represent diverse groups.</w:t>
      </w:r>
    </w:p>
    <w:p w:rsidRPr="00D50535" w:rsidR="00E01367" w:rsidP="00E01367" w:rsidRDefault="00E01367" w14:paraId="0B4961C9" w14:textId="77777777">
      <w:pPr>
        <w:pStyle w:val="Heading3"/>
      </w:pPr>
      <w:r w:rsidRPr="00D50535">
        <w:t>Why?</w:t>
      </w:r>
    </w:p>
    <w:p w:rsidR="00A975CB" w:rsidP="00E01367" w:rsidRDefault="00242A57" w14:paraId="16A0AA1E" w14:textId="59E81A69">
      <w:r>
        <w:t xml:space="preserve">These materials will help students to </w:t>
      </w:r>
      <w:r w:rsidRPr="00D50535">
        <w:t>envisage the type of activity they may be involved in</w:t>
      </w:r>
      <w:r>
        <w:t>. This will help</w:t>
      </w:r>
      <w:r w:rsidR="00E01367">
        <w:t xml:space="preserve"> students to anticipate any support needs they might have and discuss</w:t>
      </w:r>
      <w:r w:rsidR="00A975CB">
        <w:t xml:space="preserve"> how these needs might be accommodated with the </w:t>
      </w:r>
      <w:r w:rsidR="00E01367">
        <w:t>course team</w:t>
      </w:r>
      <w:r w:rsidR="00D14010">
        <w:t xml:space="preserve"> before application.</w:t>
      </w:r>
      <w:r w:rsidR="00A975CB">
        <w:t xml:space="preserve"> </w:t>
      </w:r>
    </w:p>
    <w:p w:rsidRPr="00EE7048" w:rsidR="00351129" w:rsidP="00E01367" w:rsidRDefault="00F857B9" w14:paraId="0E255405" w14:textId="458DB92B">
      <w:pPr>
        <w:rPr>
          <w:color w:val="000000" w:themeColor="text1"/>
        </w:rPr>
      </w:pPr>
      <w:r w:rsidRPr="00EE7048">
        <w:rPr>
          <w:color w:val="000000" w:themeColor="text1"/>
        </w:rPr>
        <w:t xml:space="preserve">If </w:t>
      </w:r>
      <w:r w:rsidRPr="00EE7048" w:rsidR="00351129">
        <w:rPr>
          <w:color w:val="000000" w:themeColor="text1"/>
        </w:rPr>
        <w:t>applicants</w:t>
      </w:r>
      <w:r w:rsidRPr="00EE7048">
        <w:rPr>
          <w:color w:val="000000" w:themeColor="text1"/>
        </w:rPr>
        <w:t xml:space="preserve"> do not see themselves represented in the course </w:t>
      </w:r>
      <w:r w:rsidRPr="00EE7048" w:rsidR="00B601E2">
        <w:rPr>
          <w:color w:val="000000" w:themeColor="text1"/>
        </w:rPr>
        <w:t xml:space="preserve">images or see </w:t>
      </w:r>
      <w:r w:rsidRPr="00EE7048" w:rsidR="00351129">
        <w:rPr>
          <w:color w:val="000000" w:themeColor="text1"/>
        </w:rPr>
        <w:t xml:space="preserve">a </w:t>
      </w:r>
      <w:r w:rsidRPr="00EE7048" w:rsidR="00B601E2">
        <w:rPr>
          <w:color w:val="000000" w:themeColor="text1"/>
        </w:rPr>
        <w:t xml:space="preserve">commitment </w:t>
      </w:r>
      <w:r w:rsidRPr="00EE7048" w:rsidR="00351129">
        <w:rPr>
          <w:color w:val="000000" w:themeColor="text1"/>
        </w:rPr>
        <w:t>to considering reasonable adjustments</w:t>
      </w:r>
      <w:r w:rsidRPr="00EE7048" w:rsidR="009F1C81">
        <w:rPr>
          <w:color w:val="000000" w:themeColor="text1"/>
        </w:rPr>
        <w:t>,</w:t>
      </w:r>
      <w:r w:rsidRPr="00EE7048">
        <w:rPr>
          <w:color w:val="000000" w:themeColor="text1"/>
        </w:rPr>
        <w:t xml:space="preserve"> they may</w:t>
      </w:r>
      <w:r w:rsidRPr="00EE7048" w:rsidR="0000021C">
        <w:rPr>
          <w:color w:val="000000" w:themeColor="text1"/>
        </w:rPr>
        <w:t xml:space="preserve"> </w:t>
      </w:r>
      <w:r w:rsidRPr="00EE7048" w:rsidR="00ED7DC4">
        <w:rPr>
          <w:color w:val="000000" w:themeColor="text1"/>
        </w:rPr>
        <w:t>conclude</w:t>
      </w:r>
      <w:r w:rsidRPr="00EE7048" w:rsidR="00062B82">
        <w:rPr>
          <w:color w:val="000000" w:themeColor="text1"/>
        </w:rPr>
        <w:t xml:space="preserve"> that </w:t>
      </w:r>
      <w:r w:rsidRPr="00EE7048" w:rsidR="00B775F0">
        <w:rPr>
          <w:color w:val="000000" w:themeColor="text1"/>
        </w:rPr>
        <w:t>they are not a suitable candidate for the course.</w:t>
      </w:r>
      <w:r w:rsidRPr="00EE7048" w:rsidR="00A323DC">
        <w:rPr>
          <w:color w:val="000000" w:themeColor="text1"/>
        </w:rPr>
        <w:t xml:space="preserve">  </w:t>
      </w:r>
      <w:r w:rsidRPr="00EE7048" w:rsidR="005823DA">
        <w:rPr>
          <w:color w:val="000000" w:themeColor="text1"/>
        </w:rPr>
        <w:t>However, if prospective students</w:t>
      </w:r>
      <w:r w:rsidRPr="00EE7048" w:rsidR="001D09DC">
        <w:rPr>
          <w:color w:val="000000" w:themeColor="text1"/>
        </w:rPr>
        <w:t xml:space="preserve"> with </w:t>
      </w:r>
      <w:r w:rsidR="00EE7048">
        <w:rPr>
          <w:color w:val="000000" w:themeColor="text1"/>
        </w:rPr>
        <w:t>specific</w:t>
      </w:r>
      <w:r w:rsidRPr="00EE7048" w:rsidR="001D09DC">
        <w:rPr>
          <w:color w:val="000000" w:themeColor="text1"/>
        </w:rPr>
        <w:t xml:space="preserve"> needs (such as those with disabilities or faith or cultural requirements)</w:t>
      </w:r>
      <w:r w:rsidRPr="00EE7048" w:rsidR="005823DA">
        <w:rPr>
          <w:color w:val="000000" w:themeColor="text1"/>
        </w:rPr>
        <w:t xml:space="preserve"> see that they will be </w:t>
      </w:r>
      <w:r w:rsidRPr="00EE7048" w:rsidR="00FC44AE">
        <w:rPr>
          <w:color w:val="000000" w:themeColor="text1"/>
        </w:rPr>
        <w:t xml:space="preserve">welcomed and </w:t>
      </w:r>
      <w:r w:rsidRPr="00EE7048" w:rsidR="005823DA">
        <w:rPr>
          <w:color w:val="000000" w:themeColor="text1"/>
        </w:rPr>
        <w:t>valued</w:t>
      </w:r>
      <w:r w:rsidRPr="00EE7048" w:rsidR="00FC44AE">
        <w:rPr>
          <w:color w:val="000000" w:themeColor="text1"/>
        </w:rPr>
        <w:t xml:space="preserve">, they </w:t>
      </w:r>
      <w:r w:rsidRPr="00EE7048" w:rsidR="00201941">
        <w:rPr>
          <w:color w:val="000000" w:themeColor="text1"/>
        </w:rPr>
        <w:t xml:space="preserve">will be more likely to </w:t>
      </w:r>
      <w:r w:rsidRPr="00EE7048" w:rsidR="006715D3">
        <w:rPr>
          <w:color w:val="000000" w:themeColor="text1"/>
        </w:rPr>
        <w:t>consider applying</w:t>
      </w:r>
      <w:r w:rsidRPr="00EE7048" w:rsidR="00EE7048">
        <w:rPr>
          <w:color w:val="000000" w:themeColor="text1"/>
        </w:rPr>
        <w:t>.</w:t>
      </w:r>
    </w:p>
    <w:p w:rsidR="00E01367" w:rsidP="00FC1B6F" w:rsidRDefault="00E01367" w14:paraId="0FB25298" w14:textId="77777777"/>
    <w:p w:rsidR="00E01367" w:rsidP="00FC1B6F" w:rsidRDefault="00E01367" w14:paraId="550D23DB" w14:textId="77777777"/>
    <w:p w:rsidR="00E01367" w:rsidP="00FC1B6F" w:rsidRDefault="00E01367" w14:paraId="5A1A0AC4" w14:textId="77777777"/>
    <w:p w:rsidR="00E01367" w:rsidP="00FC1B6F" w:rsidRDefault="00E01367" w14:paraId="2FD0D714" w14:textId="3DCC906F"/>
    <w:p w:rsidR="00CC508D" w:rsidP="00FC1B6F" w:rsidRDefault="00CC508D" w14:paraId="52695E48" w14:textId="77777777"/>
    <w:p w:rsidR="00CC508D" w:rsidP="00CC508D" w:rsidRDefault="00CC508D" w14:paraId="59C31CB2" w14:textId="4134056A">
      <w:pPr>
        <w:jc w:val="center"/>
      </w:pPr>
      <w:r>
        <w:rPr>
          <w:noProof/>
        </w:rPr>
        <w:lastRenderedPageBreak/>
        <w:drawing>
          <wp:inline distT="0" distB="0" distL="0" distR="0" wp14:anchorId="03C083C3" wp14:editId="4D71BFFA">
            <wp:extent cx="4192698" cy="2700135"/>
            <wp:effectExtent l="0" t="0" r="0" b="5080"/>
            <wp:docPr id="6" name="Picture 6" descr="A lightbulb made of crumpl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lightbulb made of crumpled paper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2" b="832"/>
                    <a:stretch/>
                  </pic:blipFill>
                  <pic:spPr bwMode="auto">
                    <a:xfrm>
                      <a:off x="0" y="0"/>
                      <a:ext cx="4194000" cy="2700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C1B6F" w:rsidR="00E01367" w:rsidP="00FC1B6F" w:rsidRDefault="00E01367" w14:paraId="210E1E49" w14:textId="77777777"/>
    <w:p w:rsidRPr="00A449AC" w:rsidR="00D70A30" w:rsidP="3C2A4718" w:rsidRDefault="00D70A30" w14:paraId="6AB4CC30" w14:textId="6B6D8A57" w14:noSpellErr="1">
      <w:pPr>
        <w:pStyle w:val="Heading2"/>
        <w:ind w:hanging="720"/>
        <w:rPr/>
      </w:pPr>
      <w:r w:rsidR="00D70A30">
        <w:rPr/>
        <w:t xml:space="preserve">Ensure learning outcomes </w:t>
      </w:r>
      <w:r w:rsidR="0014490A">
        <w:rPr/>
        <w:t>are clear</w:t>
      </w:r>
      <w:r w:rsidR="00D70A30">
        <w:rPr/>
        <w:t xml:space="preserve"> </w:t>
      </w:r>
    </w:p>
    <w:p w:rsidRPr="00A449AC" w:rsidR="00E96E5F" w:rsidP="00A449AC" w:rsidRDefault="00E96E5F" w14:paraId="350A4A32" w14:textId="77777777">
      <w:pPr>
        <w:pStyle w:val="Heading3"/>
      </w:pPr>
      <w:r w:rsidRPr="00A449AC">
        <w:t>How?</w:t>
      </w:r>
    </w:p>
    <w:p w:rsidR="00B20326" w:rsidP="0014490A" w:rsidRDefault="00331DE7" w14:paraId="5CA2C171" w14:textId="11414E07">
      <w:r>
        <w:t>At the design stage, c</w:t>
      </w:r>
      <w:r w:rsidR="00B20326">
        <w:t xml:space="preserve">larify the purpose of the </w:t>
      </w:r>
      <w:r w:rsidR="000122C7">
        <w:t>placement experience</w:t>
      </w:r>
      <w:r w:rsidR="00845467">
        <w:t xml:space="preserve">, </w:t>
      </w:r>
      <w:r w:rsidR="000122C7">
        <w:t xml:space="preserve">the intended learning outcomes </w:t>
      </w:r>
      <w:r w:rsidR="00845467">
        <w:t>and how these will be assessed.</w:t>
      </w:r>
      <w:r w:rsidR="00DD2ECF">
        <w:t xml:space="preserve"> </w:t>
      </w:r>
      <w:r w:rsidR="00BE36A3">
        <w:t xml:space="preserve">Consider whether requirements of any professional bodies need to be </w:t>
      </w:r>
      <w:r w:rsidR="00F61DFB">
        <w:t>incorporated.</w:t>
      </w:r>
      <w:r w:rsidR="00BE36A3">
        <w:t xml:space="preserve"> </w:t>
      </w:r>
    </w:p>
    <w:p w:rsidRPr="00D50535" w:rsidR="00E96E5F" w:rsidP="00A449AC" w:rsidRDefault="00E96E5F" w14:paraId="027E767B" w14:textId="77777777">
      <w:pPr>
        <w:pStyle w:val="Heading3"/>
      </w:pPr>
      <w:r w:rsidRPr="00D50535">
        <w:t>Why?</w:t>
      </w:r>
    </w:p>
    <w:p w:rsidR="0014490A" w:rsidP="0014490A" w:rsidRDefault="0014490A" w14:paraId="70024023" w14:textId="65B95573">
      <w:r w:rsidRPr="00D50535">
        <w:t>Placement activities can sometimes require additional skills that are not necessarily going to be assessed.</w:t>
      </w:r>
      <w:r w:rsidR="00BE36A3">
        <w:t xml:space="preserve"> </w:t>
      </w:r>
      <w:r w:rsidR="00473334">
        <w:t xml:space="preserve">Being clear about </w:t>
      </w:r>
      <w:r w:rsidR="00DB552D">
        <w:t>what will be assessed will reduce stress for students.</w:t>
      </w:r>
      <w:r w:rsidR="007E1EAC">
        <w:t xml:space="preserve"> </w:t>
      </w:r>
    </w:p>
    <w:p w:rsidR="002F5EED" w:rsidP="00637B2C" w:rsidRDefault="002F5EED" w14:paraId="1A2472BD" w14:textId="77777777"/>
    <w:p w:rsidRPr="00A449AC" w:rsidR="00E01367" w:rsidP="3C2A4718" w:rsidRDefault="00E01367" w14:paraId="014BF024" w14:textId="77777777" w14:noSpellErr="1">
      <w:pPr>
        <w:pStyle w:val="Heading2"/>
        <w:ind w:hanging="720"/>
        <w:rPr/>
      </w:pPr>
      <w:r w:rsidR="00E01367">
        <w:rPr/>
        <w:t>Support students to find placements</w:t>
      </w:r>
    </w:p>
    <w:p w:rsidRPr="00D50535" w:rsidR="00E01367" w:rsidP="00E01367" w:rsidRDefault="00E01367" w14:paraId="59483958" w14:textId="77777777">
      <w:pPr>
        <w:pStyle w:val="Heading3"/>
      </w:pPr>
      <w:r w:rsidRPr="00D50535">
        <w:t>How?</w:t>
      </w:r>
    </w:p>
    <w:p w:rsidRPr="00D50535" w:rsidR="00E01367" w:rsidP="00E01367" w:rsidRDefault="00E01367" w14:paraId="42CCBB83" w14:textId="6277E2AF">
      <w:r w:rsidRPr="00D50535">
        <w:t>Where there is a requirement for students to find their own placements, create a level playing field by sharing and disseminating information about possible placements and industry contacts.</w:t>
      </w:r>
      <w:r w:rsidR="00A1624B">
        <w:t xml:space="preserve"> Encourage students to </w:t>
      </w:r>
      <w:r w:rsidR="00E426CE">
        <w:t xml:space="preserve">speak to the </w:t>
      </w:r>
      <w:hyperlink w:history="1" r:id="rId7">
        <w:r w:rsidRPr="00037855" w:rsidR="00E426CE">
          <w:rPr>
            <w:rStyle w:val="Hyperlink"/>
          </w:rPr>
          <w:t>Career</w:t>
        </w:r>
        <w:r w:rsidRPr="00037855" w:rsidR="00E426CE">
          <w:rPr>
            <w:rStyle w:val="Hyperlink"/>
          </w:rPr>
          <w:t>s</w:t>
        </w:r>
        <w:r w:rsidRPr="00037855" w:rsidR="00E426CE">
          <w:rPr>
            <w:rStyle w:val="Hyperlink"/>
          </w:rPr>
          <w:t xml:space="preserve"> and Employability </w:t>
        </w:r>
        <w:r w:rsidRPr="00037855" w:rsidR="00037855">
          <w:rPr>
            <w:rStyle w:val="Hyperlink"/>
          </w:rPr>
          <w:t>Service</w:t>
        </w:r>
      </w:hyperlink>
      <w:r w:rsidR="00037855">
        <w:t xml:space="preserve"> for assistance </w:t>
      </w:r>
      <w:r w:rsidR="00557401">
        <w:t xml:space="preserve">in identifying </w:t>
      </w:r>
      <w:r w:rsidR="00346A3D">
        <w:t xml:space="preserve">potential </w:t>
      </w:r>
      <w:r w:rsidR="00037855">
        <w:t>placement</w:t>
      </w:r>
      <w:r w:rsidR="00346A3D">
        <w:t xml:space="preserve"> providers</w:t>
      </w:r>
      <w:r w:rsidR="00037855">
        <w:t xml:space="preserve"> </w:t>
      </w:r>
      <w:r w:rsidR="00924970">
        <w:t xml:space="preserve">and navigating </w:t>
      </w:r>
      <w:r w:rsidR="00557401">
        <w:t xml:space="preserve">any </w:t>
      </w:r>
      <w:r w:rsidR="00924970">
        <w:t>application process</w:t>
      </w:r>
      <w:r w:rsidR="00557401">
        <w:t>es such as CVs or interviews.</w:t>
      </w:r>
      <w:r w:rsidR="00037855">
        <w:t xml:space="preserve"> </w:t>
      </w:r>
    </w:p>
    <w:p w:rsidRPr="00D50535" w:rsidR="00E01367" w:rsidP="00E01367" w:rsidRDefault="00E01367" w14:paraId="43426E07" w14:textId="77777777">
      <w:pPr>
        <w:pStyle w:val="Heading3"/>
      </w:pPr>
      <w:r w:rsidRPr="00D50535">
        <w:t>Why?</w:t>
      </w:r>
    </w:p>
    <w:p w:rsidRPr="00D50535" w:rsidR="00E01367" w:rsidP="00E01367" w:rsidRDefault="00E01367" w14:paraId="6683C96C" w14:textId="77777777">
      <w:r w:rsidRPr="00D50535">
        <w:t>Some students may face a disadvantage with finding placements due to</w:t>
      </w:r>
      <w:r w:rsidRPr="00D50535">
        <w:rPr>
          <w:b/>
        </w:rPr>
        <w:t xml:space="preserve"> </w:t>
      </w:r>
      <w:r w:rsidRPr="00D50535">
        <w:t>their background or lack of skills and experience in professional and social networking</w:t>
      </w:r>
      <w:r>
        <w:t>.</w:t>
      </w:r>
    </w:p>
    <w:p w:rsidRPr="00D50535" w:rsidR="007D1AD4" w:rsidP="00637B2C" w:rsidRDefault="007D1AD4" w14:paraId="35732C38" w14:textId="77777777">
      <w:pPr>
        <w:rPr>
          <w:b/>
        </w:rPr>
      </w:pPr>
    </w:p>
    <w:p w:rsidR="000A18ED" w:rsidP="00637B2C" w:rsidRDefault="000A18ED" w14:paraId="3B338BC4" w14:textId="77777777"/>
    <w:p w:rsidR="006049EE" w:rsidP="00701C39" w:rsidRDefault="00CA3ED3" w14:paraId="4B71BC8C" w14:textId="6AA32DD9">
      <w:pPr>
        <w:jc w:val="center"/>
      </w:pPr>
      <w:r>
        <w:rPr>
          <w:noProof/>
        </w:rPr>
        <w:lastRenderedPageBreak/>
        <w:drawing>
          <wp:inline distT="0" distB="0" distL="0" distR="0" wp14:anchorId="1122CE87" wp14:editId="45D01249">
            <wp:extent cx="4194000" cy="2700868"/>
            <wp:effectExtent l="0" t="0" r="0" b="4445"/>
            <wp:docPr id="10" name="Picture 10" descr="A person on a disability scooter struggles to fit under a b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erson on a disability scooter struggles to fit under a barrier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" b="2041"/>
                    <a:stretch/>
                  </pic:blipFill>
                  <pic:spPr bwMode="auto">
                    <a:xfrm>
                      <a:off x="0" y="0"/>
                      <a:ext cx="4194000" cy="2700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0535" w:rsidR="006049EE" w:rsidP="00637B2C" w:rsidRDefault="006049EE" w14:paraId="520D880F" w14:textId="77777777"/>
    <w:p w:rsidRPr="00A449AC" w:rsidR="00E96E5F" w:rsidP="3C2A4718" w:rsidRDefault="00637B2C" w14:paraId="6C2C9E5D" w14:textId="6B3E66A0" w14:noSpellErr="1">
      <w:pPr>
        <w:pStyle w:val="Heading2"/>
        <w:ind w:hanging="720"/>
        <w:rPr/>
      </w:pPr>
      <w:r w:rsidR="00637B2C">
        <w:rPr/>
        <w:t>Be prepared for disabled applicants when organising placements</w:t>
      </w:r>
    </w:p>
    <w:p w:rsidRPr="00D50535" w:rsidR="00E96E5F" w:rsidP="00A449AC" w:rsidRDefault="00E96E5F" w14:paraId="06C45278" w14:textId="77777777">
      <w:pPr>
        <w:pStyle w:val="Heading3"/>
      </w:pPr>
      <w:r w:rsidRPr="00D50535">
        <w:t>How?</w:t>
      </w:r>
    </w:p>
    <w:p w:rsidR="00ED1702" w:rsidP="0D1A46E4" w:rsidRDefault="002E6ED4" w14:paraId="65CC8D85" w14:textId="139C001B">
      <w:r>
        <w:t>Collect information on placement providers about physical access, transport</w:t>
      </w:r>
      <w:r w:rsidR="00107130">
        <w:t xml:space="preserve"> and working hours.  Ensure providers are aware of </w:t>
      </w:r>
      <w:proofErr w:type="gramStart"/>
      <w:r w:rsidR="00107130">
        <w:t>University</w:t>
      </w:r>
      <w:proofErr w:type="gramEnd"/>
      <w:r w:rsidR="00107130">
        <w:t xml:space="preserve"> policies on equality and diversity </w:t>
      </w:r>
      <w:r w:rsidR="00230DF0">
        <w:t xml:space="preserve">and </w:t>
      </w:r>
      <w:r w:rsidR="009B67EC">
        <w:t>ask that these</w:t>
      </w:r>
      <w:r w:rsidR="00FD3E0A">
        <w:t xml:space="preserve"> are respected</w:t>
      </w:r>
      <w:r w:rsidR="009B67EC">
        <w:t xml:space="preserve"> in reference to placement students. </w:t>
      </w:r>
      <w:r w:rsidRPr="00D50535" w:rsidR="00ED1702">
        <w:t xml:space="preserve">Invite feedback from students about their views on the inclusiveness of their placement experience so that </w:t>
      </w:r>
      <w:r w:rsidR="00ED1702">
        <w:t xml:space="preserve">any </w:t>
      </w:r>
      <w:r w:rsidRPr="00D50535" w:rsidR="00ED1702">
        <w:t>issues can be addressed in future planning.</w:t>
      </w:r>
    </w:p>
    <w:p w:rsidRPr="00D50535" w:rsidR="005331E0" w:rsidP="005331E0" w:rsidRDefault="002347F8" w14:paraId="55CB9880" w14:textId="5702D8E0">
      <w:r>
        <w:t xml:space="preserve">Ensure students are aware of the procedure they should follow to disclose a disability or </w:t>
      </w:r>
      <w:r w:rsidR="004D0107">
        <w:t xml:space="preserve">any </w:t>
      </w:r>
      <w:r>
        <w:t xml:space="preserve">specific needs. </w:t>
      </w:r>
      <w:r w:rsidRPr="00D50535" w:rsidR="00637B2C">
        <w:t>Provide</w:t>
      </w:r>
      <w:r w:rsidR="00CB2D33">
        <w:t xml:space="preserve"> a</w:t>
      </w:r>
      <w:r w:rsidRPr="00D50535" w:rsidR="00637B2C">
        <w:t xml:space="preserve"> clear </w:t>
      </w:r>
      <w:r w:rsidR="00CB2D33">
        <w:t>rationale</w:t>
      </w:r>
      <w:r w:rsidR="00ED1702">
        <w:t xml:space="preserve"> and multiple opportunities</w:t>
      </w:r>
      <w:r>
        <w:t xml:space="preserve"> for students to </w:t>
      </w:r>
      <w:r w:rsidR="005331E0">
        <w:t>make a disclosur</w:t>
      </w:r>
      <w:r w:rsidR="000E084B">
        <w:t>e</w:t>
      </w:r>
      <w:r w:rsidR="004B0BEC">
        <w:t>.  E</w:t>
      </w:r>
      <w:r w:rsidR="000E084B">
        <w:t>nsure t</w:t>
      </w:r>
      <w:r w:rsidR="00AB418D">
        <w:t xml:space="preserve">hat there </w:t>
      </w:r>
      <w:r w:rsidR="002C7F4E">
        <w:t>are</w:t>
      </w:r>
      <w:r w:rsidR="00AB418D">
        <w:t xml:space="preserve"> clear procedure</w:t>
      </w:r>
      <w:r w:rsidR="002C7F4E">
        <w:t>s</w:t>
      </w:r>
      <w:r w:rsidR="00AB418D">
        <w:t xml:space="preserve"> for how the information is </w:t>
      </w:r>
      <w:r w:rsidR="000E084B">
        <w:t xml:space="preserve">shared </w:t>
      </w:r>
      <w:r w:rsidR="00D600BB">
        <w:t xml:space="preserve">with </w:t>
      </w:r>
      <w:r w:rsidR="00357431">
        <w:t>those</w:t>
      </w:r>
      <w:r w:rsidR="00D600BB">
        <w:t xml:space="preserve"> responsible for allocating placements</w:t>
      </w:r>
      <w:r w:rsidR="004B0BEC">
        <w:t xml:space="preserve"> and </w:t>
      </w:r>
      <w:r w:rsidR="002C7F4E">
        <w:t>the placement provider</w:t>
      </w:r>
      <w:r w:rsidR="00403D78">
        <w:t xml:space="preserve"> </w:t>
      </w:r>
      <w:r w:rsidR="008A29EA">
        <w:t>(</w:t>
      </w:r>
      <w:r w:rsidR="00403D78">
        <w:t>if the student gives permission</w:t>
      </w:r>
      <w:r w:rsidR="008A29EA">
        <w:t>)</w:t>
      </w:r>
      <w:r w:rsidR="00D600BB">
        <w:t>.</w:t>
      </w:r>
      <w:r w:rsidR="00ED1702">
        <w:t xml:space="preserve"> </w:t>
      </w:r>
      <w:r w:rsidRPr="00D50535" w:rsidR="005331E0">
        <w:t xml:space="preserve">For further </w:t>
      </w:r>
      <w:r w:rsidR="005331E0">
        <w:t>information</w:t>
      </w:r>
      <w:r w:rsidRPr="00D50535" w:rsidR="005331E0">
        <w:t xml:space="preserve">, refer to the University’s </w:t>
      </w:r>
      <w:r w:rsidR="005331E0">
        <w:t>‘</w:t>
      </w:r>
      <w:hyperlink w:history="1" r:id="rId9">
        <w:r w:rsidRPr="00AC7579" w:rsidR="005331E0">
          <w:rPr>
            <w:rStyle w:val="Hyperlink"/>
          </w:rPr>
          <w:t>Guidance for staff in managing</w:t>
        </w:r>
        <w:r w:rsidRPr="00AC7579" w:rsidR="005331E0">
          <w:rPr>
            <w:rStyle w:val="Hyperlink"/>
          </w:rPr>
          <w:t xml:space="preserve"> </w:t>
        </w:r>
        <w:r w:rsidRPr="00AC7579" w:rsidR="005331E0">
          <w:rPr>
            <w:rStyle w:val="Hyperlink"/>
          </w:rPr>
          <w:t>work placements for disabled students</w:t>
        </w:r>
      </w:hyperlink>
      <w:r w:rsidR="005331E0">
        <w:t xml:space="preserve">’. </w:t>
      </w:r>
    </w:p>
    <w:p w:rsidRPr="00D50535" w:rsidR="00E96E5F" w:rsidP="00A449AC" w:rsidRDefault="00E96E5F" w14:paraId="63CFC2FB" w14:textId="77777777">
      <w:pPr>
        <w:pStyle w:val="Heading3"/>
      </w:pPr>
      <w:r w:rsidRPr="00D50535">
        <w:t>Why?</w:t>
      </w:r>
    </w:p>
    <w:p w:rsidRPr="00D50535" w:rsidR="00637B2C" w:rsidP="00637B2C" w:rsidRDefault="00FC3AE0" w14:paraId="78C80074" w14:textId="316858D0">
      <w:r>
        <w:t xml:space="preserve">Having information on each placement provider </w:t>
      </w:r>
      <w:r w:rsidR="00204730">
        <w:t xml:space="preserve">provides a helpful starting point </w:t>
      </w:r>
      <w:r w:rsidR="000E084B">
        <w:t>if specific adjustments need to be considered.</w:t>
      </w:r>
      <w:r w:rsidR="00003F8C">
        <w:t xml:space="preserve"> </w:t>
      </w:r>
      <w:r w:rsidRPr="00D50535" w:rsidR="00637B2C">
        <w:t xml:space="preserve">Where students have been treated unfairly </w:t>
      </w:r>
      <w:proofErr w:type="gramStart"/>
      <w:r w:rsidR="00E47488">
        <w:t>on the basis of</w:t>
      </w:r>
      <w:proofErr w:type="gramEnd"/>
      <w:r w:rsidRPr="00D50535" w:rsidR="00637B2C">
        <w:t xml:space="preserve"> protected characteristics, </w:t>
      </w:r>
      <w:r w:rsidR="00E47488">
        <w:t>the</w:t>
      </w:r>
      <w:r w:rsidRPr="00D50535" w:rsidR="00637B2C">
        <w:t xml:space="preserve"> placement provider should </w:t>
      </w:r>
      <w:r w:rsidR="004825AF">
        <w:t>be reviewed</w:t>
      </w:r>
      <w:r w:rsidR="0010676D">
        <w:t xml:space="preserve">. In some cases, </w:t>
      </w:r>
      <w:r w:rsidR="00353DBE">
        <w:t xml:space="preserve">it may be appropriate not to use this placement provider again. </w:t>
      </w:r>
    </w:p>
    <w:p w:rsidR="004F5DD7" w:rsidP="00637B2C" w:rsidRDefault="00ED6EE4" w14:paraId="13AE9135" w14:textId="4B7DBCCC">
      <w:r>
        <w:t>Students with</w:t>
      </w:r>
      <w:r w:rsidRPr="00D50535" w:rsidR="00637B2C">
        <w:t xml:space="preserve"> disabilities or </w:t>
      </w:r>
      <w:r w:rsidR="00E47488">
        <w:t xml:space="preserve">other </w:t>
      </w:r>
      <w:r w:rsidRPr="00D50535" w:rsidR="00637B2C">
        <w:t xml:space="preserve">specific needs </w:t>
      </w:r>
      <w:r w:rsidR="00B8608B">
        <w:t>ma</w:t>
      </w:r>
      <w:r w:rsidR="00F8454A">
        <w:t xml:space="preserve">y </w:t>
      </w:r>
      <w:r w:rsidR="004A0117">
        <w:t>not have</w:t>
      </w:r>
      <w:r w:rsidR="00C6242C">
        <w:t xml:space="preserve"> experienced </w:t>
      </w:r>
      <w:r w:rsidR="005777B7">
        <w:t>difficulties</w:t>
      </w:r>
      <w:r w:rsidR="00C6242C">
        <w:t xml:space="preserve"> </w:t>
      </w:r>
      <w:r w:rsidR="005777B7">
        <w:t>relating to their studies</w:t>
      </w:r>
      <w:r w:rsidR="004A0117">
        <w:t xml:space="preserve"> </w:t>
      </w:r>
      <w:r w:rsidR="005777B7">
        <w:t xml:space="preserve">and therefore may not have </w:t>
      </w:r>
      <w:r w:rsidR="004A0117">
        <w:t xml:space="preserve">deemed it necessary to </w:t>
      </w:r>
      <w:r w:rsidR="00D95EAB">
        <w:t>make a disclosure</w:t>
      </w:r>
      <w:r w:rsidR="00E47488">
        <w:t xml:space="preserve"> at the beginning of the course</w:t>
      </w:r>
      <w:r w:rsidR="004A0117">
        <w:t xml:space="preserve">.  However, </w:t>
      </w:r>
      <w:r w:rsidR="007329FE">
        <w:t>they may need additional support in relation to</w:t>
      </w:r>
      <w:r w:rsidR="00D35933">
        <w:t xml:space="preserve"> </w:t>
      </w:r>
      <w:r w:rsidR="005A7DC7">
        <w:t xml:space="preserve">work-based learning. </w:t>
      </w:r>
      <w:r w:rsidR="00066FC3">
        <w:t>I</w:t>
      </w:r>
      <w:r w:rsidR="004F5DD7">
        <w:t>t is important that students are aware that they can make a disclosure at any point</w:t>
      </w:r>
      <w:r w:rsidR="00066FC3">
        <w:t xml:space="preserve"> </w:t>
      </w:r>
      <w:r w:rsidR="00D95EAB">
        <w:t>during the course.</w:t>
      </w:r>
    </w:p>
    <w:p w:rsidR="00ED6EE4" w:rsidP="00637B2C" w:rsidRDefault="007329FE" w14:paraId="26AEFD9D" w14:textId="2B67ED41">
      <w:r>
        <w:t xml:space="preserve"> </w:t>
      </w:r>
    </w:p>
    <w:p w:rsidR="00AC7579" w:rsidP="00BD04F6" w:rsidRDefault="00BD04F6" w14:paraId="4E0E1CA9" w14:textId="05FFB24E">
      <w:pPr>
        <w:jc w:val="center"/>
      </w:pPr>
      <w:r>
        <w:rPr>
          <w:noProof/>
        </w:rPr>
        <w:lastRenderedPageBreak/>
        <w:drawing>
          <wp:inline distT="0" distB="0" distL="0" distR="0" wp14:anchorId="3D6817ED" wp14:editId="4A46A79B">
            <wp:extent cx="4193540" cy="2700950"/>
            <wp:effectExtent l="0" t="0" r="0" b="4445"/>
            <wp:docPr id="11" name="Picture 11" descr="Two students in a semi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wo students in a seminar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2"/>
                    <a:stretch/>
                  </pic:blipFill>
                  <pic:spPr bwMode="auto">
                    <a:xfrm>
                      <a:off x="0" y="0"/>
                      <a:ext cx="4194000" cy="2701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D50535" w:rsidR="00BD04F6" w:rsidP="00BD04F6" w:rsidRDefault="00BD04F6" w14:paraId="7F24E4A7" w14:textId="77777777">
      <w:pPr>
        <w:jc w:val="center"/>
      </w:pPr>
    </w:p>
    <w:p w:rsidRPr="00A449AC" w:rsidR="00E96E5F" w:rsidP="3C2A4718" w:rsidRDefault="00637B2C" w14:paraId="5AC36E1C" w14:textId="2AD1384C" w14:noSpellErr="1">
      <w:pPr>
        <w:pStyle w:val="Heading2"/>
        <w:ind w:hanging="720"/>
        <w:rPr/>
      </w:pPr>
      <w:r w:rsidR="00637B2C">
        <w:rPr/>
        <w:t>Support students to prepare for placements</w:t>
      </w:r>
    </w:p>
    <w:p w:rsidRPr="00D50535" w:rsidR="00E96E5F" w:rsidP="00A449AC" w:rsidRDefault="00E96E5F" w14:paraId="1664192B" w14:textId="77777777">
      <w:pPr>
        <w:pStyle w:val="Heading3"/>
      </w:pPr>
      <w:r w:rsidRPr="00D50535">
        <w:t>How?</w:t>
      </w:r>
    </w:p>
    <w:p w:rsidR="00D30442" w:rsidP="00637B2C" w:rsidRDefault="00637B2C" w14:paraId="729A190B" w14:textId="7DB43570">
      <w:r w:rsidRPr="00D50535">
        <w:t xml:space="preserve">Embed structured support for placement </w:t>
      </w:r>
      <w:r w:rsidR="00D30442">
        <w:t xml:space="preserve">preparation </w:t>
      </w:r>
      <w:r w:rsidRPr="00D50535">
        <w:t>into the curriculum</w:t>
      </w:r>
      <w:r w:rsidR="00CA5BF9">
        <w:t xml:space="preserve"> and p</w:t>
      </w:r>
      <w:r w:rsidRPr="00D50535">
        <w:t xml:space="preserve">romote awareness of </w:t>
      </w:r>
      <w:proofErr w:type="gramStart"/>
      <w:r w:rsidRPr="00D50535">
        <w:t>University</w:t>
      </w:r>
      <w:proofErr w:type="gramEnd"/>
      <w:r w:rsidRPr="00D50535">
        <w:t xml:space="preserve"> policies and equality legislation both to students and placement providers</w:t>
      </w:r>
      <w:r w:rsidR="00CA5BF9">
        <w:t xml:space="preserve">. </w:t>
      </w:r>
    </w:p>
    <w:p w:rsidRPr="00A449AC" w:rsidR="2DB41EDF" w:rsidP="2DB41EDF" w:rsidRDefault="00637B2C" w14:paraId="006C1967" w14:textId="4F7CEE10">
      <w:r w:rsidRPr="00D50535">
        <w:t>Follow procedures for finding out how disabled students’ support requirements can be met during placement</w:t>
      </w:r>
      <w:r w:rsidR="004F0EEE">
        <w:t xml:space="preserve"> and contact the </w:t>
      </w:r>
      <w:hyperlink w:history="1" r:id="rId11">
        <w:r w:rsidRPr="004F0EEE" w:rsidR="004F0EEE">
          <w:rPr>
            <w:rStyle w:val="Hyperlink"/>
          </w:rPr>
          <w:t>Disability and Dyslexia Service</w:t>
        </w:r>
      </w:hyperlink>
      <w:r w:rsidRPr="00D50535" w:rsidR="004F0EEE">
        <w:t xml:space="preserve"> for further advice</w:t>
      </w:r>
      <w:r w:rsidR="004F0EEE">
        <w:t>.</w:t>
      </w:r>
      <w:r w:rsidR="009D6AF4">
        <w:t xml:space="preserve"> </w:t>
      </w:r>
      <w:r w:rsidR="00E47488">
        <w:t xml:space="preserve">Encourage </w:t>
      </w:r>
      <w:r w:rsidR="009D6AF4">
        <w:t xml:space="preserve">all </w:t>
      </w:r>
      <w:r w:rsidRPr="00D50535">
        <w:t xml:space="preserve">students to think through </w:t>
      </w:r>
      <w:r w:rsidR="009D6AF4">
        <w:t xml:space="preserve">any </w:t>
      </w:r>
      <w:r w:rsidRPr="00D50535">
        <w:t xml:space="preserve">requirements they may have, </w:t>
      </w:r>
      <w:r w:rsidR="009D6AF4">
        <w:t>such as</w:t>
      </w:r>
      <w:r w:rsidRPr="00D50535">
        <w:t xml:space="preserve"> in relation to religious observance or caring responsibilities, and how they will </w:t>
      </w:r>
      <w:r w:rsidR="00DD266C">
        <w:t>manage this</w:t>
      </w:r>
      <w:r w:rsidRPr="00D50535">
        <w:t xml:space="preserve"> while on placement.</w:t>
      </w:r>
    </w:p>
    <w:p w:rsidRPr="00D50535" w:rsidR="00E96E5F" w:rsidP="00A449AC" w:rsidRDefault="00E96E5F" w14:paraId="0DE4C7E0" w14:textId="77777777">
      <w:pPr>
        <w:pStyle w:val="Heading3"/>
      </w:pPr>
      <w:r w:rsidRPr="00D50535">
        <w:t>Why?</w:t>
      </w:r>
    </w:p>
    <w:p w:rsidRPr="00D50535" w:rsidR="00637B2C" w:rsidP="00637B2C" w:rsidRDefault="002F6549" w14:paraId="232EFDE5" w14:textId="489D268E">
      <w:r>
        <w:t xml:space="preserve">Embedding placement preparation sessions into the course </w:t>
      </w:r>
      <w:r w:rsidRPr="00D50535" w:rsidR="00637B2C">
        <w:t>ensures that students don’t have to find additional time outside of their normal timetable to attend sessions</w:t>
      </w:r>
      <w:r w:rsidR="001802AC">
        <w:t xml:space="preserve">.  This </w:t>
      </w:r>
      <w:r w:rsidRPr="00D50535" w:rsidR="00637B2C">
        <w:t>could be problematic for some students</w:t>
      </w:r>
      <w:r w:rsidR="001802AC">
        <w:t>,</w:t>
      </w:r>
      <w:r w:rsidRPr="00D50535" w:rsidR="00637B2C">
        <w:t xml:space="preserve"> including those who need to work part-time or</w:t>
      </w:r>
      <w:r w:rsidR="001802AC">
        <w:t xml:space="preserve"> who</w:t>
      </w:r>
      <w:r w:rsidRPr="00D50535" w:rsidR="00637B2C">
        <w:t xml:space="preserve"> have caring responsibilities.</w:t>
      </w:r>
      <w:r>
        <w:t xml:space="preserve"> </w:t>
      </w:r>
      <w:r w:rsidRPr="00D50535" w:rsidR="00637B2C">
        <w:t>University policies should be consistently applied to students’ experience of course requirements so should still apply in off campus learning.</w:t>
      </w:r>
    </w:p>
    <w:p w:rsidRPr="00D50535" w:rsidR="00E96E5F" w:rsidP="00637B2C" w:rsidRDefault="00836749" w14:paraId="09D3E70C" w14:textId="7B743AFC">
      <w:r>
        <w:t xml:space="preserve">Some aspects of a student’s situation may not have been </w:t>
      </w:r>
      <w:r w:rsidRPr="00D50535" w:rsidR="00637B2C">
        <w:t xml:space="preserve">fully explored during a student’s </w:t>
      </w:r>
      <w:r w:rsidR="00E449BE">
        <w:t>n</w:t>
      </w:r>
      <w:r w:rsidRPr="00D50535" w:rsidR="00637B2C">
        <w:t xml:space="preserve">eeds </w:t>
      </w:r>
      <w:r w:rsidR="00E449BE">
        <w:t>a</w:t>
      </w:r>
      <w:r w:rsidRPr="00D50535" w:rsidR="00637B2C">
        <w:t>ssessment, particularly if the placement is optional. Pre-empting practical or logistical considerations will reduce the need for additional arrangements to be made once the placement has started. Engaging with support services can help to reduce anxiety</w:t>
      </w:r>
      <w:r w:rsidR="00A97964">
        <w:t xml:space="preserve"> for the student</w:t>
      </w:r>
      <w:r w:rsidRPr="00D50535" w:rsidR="00637B2C">
        <w:t xml:space="preserve"> and provide information for staff arranging placements.</w:t>
      </w:r>
    </w:p>
    <w:p w:rsidR="00A449AC" w:rsidP="00637B2C" w:rsidRDefault="00A449AC" w14:paraId="6040FE63" w14:textId="77777777"/>
    <w:p w:rsidR="006049EE" w:rsidP="00637B2C" w:rsidRDefault="006049EE" w14:paraId="0D6AFACD" w14:textId="77777777"/>
    <w:p w:rsidR="006049EE" w:rsidP="00637B2C" w:rsidRDefault="006049EE" w14:paraId="780CE68E" w14:textId="77777777"/>
    <w:p w:rsidR="006049EE" w:rsidP="00C11AA0" w:rsidRDefault="003643C0" w14:paraId="6D9EE8FE" w14:textId="55AB0095">
      <w:pPr>
        <w:jc w:val="center"/>
      </w:pPr>
      <w:r>
        <w:rPr>
          <w:noProof/>
        </w:rPr>
        <w:drawing>
          <wp:inline distT="0" distB="0" distL="0" distR="0" wp14:anchorId="1C423A2F" wp14:editId="1CCB6AC6">
            <wp:extent cx="4194000" cy="2698628"/>
            <wp:effectExtent l="0" t="0" r="0" b="6985"/>
            <wp:docPr id="13" name="Picture 13" descr="A computer key with the word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computer key with the word hel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477"/>
                    <a:stretch/>
                  </pic:blipFill>
                  <pic:spPr bwMode="auto">
                    <a:xfrm>
                      <a:off x="0" y="0"/>
                      <a:ext cx="4194000" cy="2698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9EE" w:rsidP="00637B2C" w:rsidRDefault="006049EE" w14:paraId="025C832D" w14:textId="77777777"/>
    <w:p w:rsidRPr="00A449AC" w:rsidR="00E01367" w:rsidP="3C2A4718" w:rsidRDefault="00E01367" w14:paraId="6C7A8651" w14:textId="77777777" w14:noSpellErr="1">
      <w:pPr>
        <w:pStyle w:val="Heading2"/>
        <w:ind w:hanging="720"/>
        <w:rPr/>
      </w:pPr>
      <w:r w:rsidR="00E01367">
        <w:rPr/>
        <w:t>Ensure students know what to do in</w:t>
      </w:r>
      <w:r w:rsidR="00E01367">
        <w:rPr/>
        <w:t xml:space="preserve"> the</w:t>
      </w:r>
      <w:r w:rsidR="00E01367">
        <w:rPr/>
        <w:t xml:space="preserve"> </w:t>
      </w:r>
      <w:r w:rsidR="00E01367">
        <w:rPr/>
        <w:t xml:space="preserve">case of </w:t>
      </w:r>
      <w:r w:rsidR="00E01367">
        <w:rPr/>
        <w:t>unforeseen events</w:t>
      </w:r>
    </w:p>
    <w:p w:rsidRPr="00D50535" w:rsidR="00E01367" w:rsidP="00E01367" w:rsidRDefault="00E01367" w14:paraId="337FC8A3" w14:textId="77777777">
      <w:pPr>
        <w:pStyle w:val="Heading3"/>
      </w:pPr>
      <w:r w:rsidRPr="00D50535">
        <w:t>How?</w:t>
      </w:r>
    </w:p>
    <w:p w:rsidRPr="00D50535" w:rsidR="00E01367" w:rsidP="00E01367" w:rsidRDefault="00E01367" w14:paraId="4840EEC1" w14:textId="1E4B79EA">
      <w:r w:rsidRPr="00D50535">
        <w:t>Provide clear</w:t>
      </w:r>
      <w:r w:rsidR="00BA440C">
        <w:t>,</w:t>
      </w:r>
      <w:r w:rsidRPr="00D50535">
        <w:t xml:space="preserve"> readily available information about </w:t>
      </w:r>
      <w:r>
        <w:t xml:space="preserve">what to do in case of sickness or emergency.  </w:t>
      </w:r>
    </w:p>
    <w:p w:rsidRPr="00D50535" w:rsidR="00E01367" w:rsidP="00E01367" w:rsidRDefault="00E01367" w14:paraId="7E143E46" w14:textId="1E8A0607">
      <w:r w:rsidRPr="00D50535">
        <w:t xml:space="preserve">Provide a safe environment and supportive culture for students to raise any issues of inequality that arise during the placement. </w:t>
      </w:r>
      <w:r w:rsidR="006049EE">
        <w:t xml:space="preserve">Ensure students </w:t>
      </w:r>
      <w:r w:rsidR="00267E64">
        <w:t xml:space="preserve">know who to approach if they </w:t>
      </w:r>
      <w:r w:rsidR="00FE0284">
        <w:t>encounter any</w:t>
      </w:r>
      <w:r w:rsidR="00267E64">
        <w:t xml:space="preserve"> </w:t>
      </w:r>
      <w:r w:rsidR="00551C42">
        <w:t xml:space="preserve">difficulties and that they </w:t>
      </w:r>
      <w:r w:rsidR="006049EE">
        <w:t xml:space="preserve">are aware of </w:t>
      </w:r>
      <w:r w:rsidR="00362942">
        <w:t xml:space="preserve">formal </w:t>
      </w:r>
      <w:r w:rsidR="00503603">
        <w:t>procedures for raising a cause for concern</w:t>
      </w:r>
      <w:r w:rsidR="00362942">
        <w:t>.</w:t>
      </w:r>
    </w:p>
    <w:p w:rsidRPr="00D50535" w:rsidR="00E01367" w:rsidP="00E01367" w:rsidRDefault="00E01367" w14:paraId="69A5ED4D" w14:textId="77777777">
      <w:pPr>
        <w:pStyle w:val="Heading3"/>
      </w:pPr>
      <w:r w:rsidRPr="00D50535">
        <w:t>Why?</w:t>
      </w:r>
    </w:p>
    <w:p w:rsidRPr="00D50535" w:rsidR="00E01367" w:rsidP="00E01367" w:rsidRDefault="00E01367" w14:paraId="1D8D9624" w14:textId="3ABBE766">
      <w:r>
        <w:t xml:space="preserve">Setting clear guidelines helps to </w:t>
      </w:r>
      <w:r w:rsidRPr="00D50535">
        <w:t>reduce stress and ensures that students with additional needs, fluctuating medical conditions and</w:t>
      </w:r>
      <w:r>
        <w:t xml:space="preserve"> / or</w:t>
      </w:r>
      <w:r w:rsidRPr="00D50535">
        <w:t xml:space="preserve"> caring responsibilities </w:t>
      </w:r>
      <w:r>
        <w:t xml:space="preserve">know </w:t>
      </w:r>
      <w:r w:rsidR="006E6D21">
        <w:t>what is required of them.</w:t>
      </w:r>
    </w:p>
    <w:p w:rsidR="00E01367" w:rsidP="00E01367" w:rsidRDefault="00E01367" w14:paraId="5BC59D85" w14:textId="77777777">
      <w:r>
        <w:t>Students may</w:t>
      </w:r>
      <w:r w:rsidRPr="00D50535">
        <w:t xml:space="preserve"> try to deal with workplace inequality themselves.</w:t>
      </w:r>
      <w:r>
        <w:t xml:space="preserve"> </w:t>
      </w:r>
      <w:r w:rsidRPr="00D50535">
        <w:t>Students need to be equipped with the knowledge and confidence to address such situations with support.</w:t>
      </w:r>
    </w:p>
    <w:p w:rsidR="00CF1F14" w:rsidP="00637B2C" w:rsidRDefault="00CF1F14" w14:paraId="2912FBC2" w14:textId="77777777"/>
    <w:p w:rsidR="00A449AC" w:rsidP="00637B2C" w:rsidRDefault="00A449AC" w14:paraId="258A3A6B" w14:textId="77777777"/>
    <w:p w:rsidR="006049EE" w:rsidP="00637B2C" w:rsidRDefault="006049EE" w14:paraId="377382CE" w14:textId="77777777"/>
    <w:p w:rsidR="006049EE" w:rsidP="00637B2C" w:rsidRDefault="006049EE" w14:paraId="41ED5798" w14:textId="77777777"/>
    <w:p w:rsidR="006049EE" w:rsidP="00637B2C" w:rsidRDefault="006049EE" w14:paraId="26FF172D" w14:textId="77777777"/>
    <w:p w:rsidR="006049EE" w:rsidP="00637B2C" w:rsidRDefault="006049EE" w14:paraId="6F8B8938" w14:textId="77777777"/>
    <w:p w:rsidR="006049EE" w:rsidP="00637B2C" w:rsidRDefault="006049EE" w14:paraId="6B0E98A9" w14:textId="77777777"/>
    <w:p w:rsidR="00A449AC" w:rsidP="00A449AC" w:rsidRDefault="00A449AC" w14:paraId="06196F02" w14:textId="77918F01">
      <w:pPr>
        <w:pStyle w:val="Heading1"/>
      </w:pPr>
      <w:r>
        <w:t>Useful links and resources</w:t>
      </w:r>
    </w:p>
    <w:p w:rsidR="00A449AC" w:rsidP="00637B2C" w:rsidRDefault="00A449AC" w14:paraId="6A1C306C" w14:textId="77777777"/>
    <w:p w:rsidR="00331DE7" w:rsidP="00331DE7" w:rsidRDefault="00000000" w14:paraId="6C32B068" w14:textId="77777777">
      <w:hyperlink w:history="1" r:id="rId13">
        <w:r w:rsidRPr="00FE6C14" w:rsidR="00331DE7">
          <w:rPr>
            <w:rStyle w:val="Hyperlink"/>
          </w:rPr>
          <w:t>Education for Mental Health Toolkit – Placements</w:t>
        </w:r>
      </w:hyperlink>
      <w:r w:rsidR="00331DE7">
        <w:t>, Advance HE, 2022</w:t>
      </w:r>
    </w:p>
    <w:p w:rsidR="00236B2A" w:rsidP="00291145" w:rsidRDefault="00236B2A" w14:paraId="680E529E" w14:textId="77777777">
      <w:pPr>
        <w:rPr>
          <w:rStyle w:val="eop"/>
          <w:rFonts w:cs="Arial"/>
          <w:color w:val="000000"/>
          <w:shd w:val="clear" w:color="auto" w:fill="FFFFFF"/>
        </w:rPr>
      </w:pPr>
      <w:hyperlink w:tgtFrame="_blank" w:history="1" w:anchor=":~:text=This%20Theme%20aims%20to%20advise,design%2C%20and%20learning%20and%20teaching." r:id="rId14">
        <w:r>
          <w:rPr>
            <w:rStyle w:val="normaltextrun"/>
            <w:rFonts w:cs="Arial"/>
            <w:color w:val="0563C1"/>
            <w:u w:val="single"/>
            <w:shd w:val="clear" w:color="auto" w:fill="FFFFFF"/>
            <w:lang w:val="en-US"/>
          </w:rPr>
          <w:t>Enabling student achieveme</w:t>
        </w:r>
        <w:r>
          <w:rPr>
            <w:rStyle w:val="normaltextrun"/>
            <w:rFonts w:cs="Arial"/>
            <w:color w:val="0563C1"/>
            <w:u w:val="single"/>
            <w:shd w:val="clear" w:color="auto" w:fill="FFFFFF"/>
            <w:lang w:val="en-US"/>
          </w:rPr>
          <w:t>n</w:t>
        </w:r>
        <w:r>
          <w:rPr>
            <w:rStyle w:val="normaltextrun"/>
            <w:rFonts w:cs="Arial"/>
            <w:color w:val="0563C1"/>
            <w:u w:val="single"/>
            <w:shd w:val="clear" w:color="auto" w:fill="FFFFFF"/>
            <w:lang w:val="en-US"/>
          </w:rPr>
          <w:t>t</w:t>
        </w:r>
      </w:hyperlink>
      <w:r>
        <w:rPr>
          <w:rStyle w:val="normaltextrun"/>
          <w:rFonts w:cs="Arial"/>
          <w:color w:val="000000"/>
          <w:shd w:val="clear" w:color="auto" w:fill="FFFFFF"/>
          <w:lang w:val="en-US"/>
        </w:rPr>
        <w:t>, QAA, 2018</w:t>
      </w:r>
      <w:r>
        <w:rPr>
          <w:rStyle w:val="eop"/>
          <w:rFonts w:cs="Arial"/>
          <w:color w:val="000000"/>
          <w:shd w:val="clear" w:color="auto" w:fill="FFFFFF"/>
        </w:rPr>
        <w:t> </w:t>
      </w:r>
    </w:p>
    <w:p w:rsidR="00291145" w:rsidP="00291145" w:rsidRDefault="00000000" w14:paraId="3AFF1431" w14:textId="030814B0">
      <w:hyperlink w:history="1" r:id="rId15">
        <w:r w:rsidRPr="00B15906" w:rsidR="00291145">
          <w:rPr>
            <w:rStyle w:val="Hyperlink"/>
          </w:rPr>
          <w:t>Guidance for staff in managing w</w:t>
        </w:r>
        <w:r w:rsidRPr="00B15906" w:rsidR="00291145">
          <w:rPr>
            <w:rStyle w:val="Hyperlink"/>
          </w:rPr>
          <w:t>o</w:t>
        </w:r>
        <w:r w:rsidRPr="00B15906" w:rsidR="00291145">
          <w:rPr>
            <w:rStyle w:val="Hyperlink"/>
          </w:rPr>
          <w:t>rk placements for disabled students</w:t>
        </w:r>
      </w:hyperlink>
      <w:r w:rsidR="00291145">
        <w:t>, University of Worcester</w:t>
      </w:r>
    </w:p>
    <w:p w:rsidR="00D304D1" w:rsidP="00637B2C" w:rsidRDefault="00000000" w14:paraId="522C7B5B" w14:textId="378097AC">
      <w:hyperlink w:history="1" r:id="rId16">
        <w:r w:rsidRPr="00797513" w:rsidR="00A91407">
          <w:rPr>
            <w:rStyle w:val="Hyperlink"/>
          </w:rPr>
          <w:t>How to support students on work placements</w:t>
        </w:r>
      </w:hyperlink>
      <w:r w:rsidR="00A91407">
        <w:t xml:space="preserve">, Oxford Brookes </w:t>
      </w:r>
      <w:r w:rsidR="00797513">
        <w:t>University</w:t>
      </w:r>
    </w:p>
    <w:p w:rsidR="00D304D1" w:rsidP="00637B2C" w:rsidRDefault="00000000" w14:paraId="386A0D8E" w14:textId="241319F0">
      <w:hyperlink w:history="1" r:id="rId17">
        <w:r w:rsidRPr="006D2846" w:rsidR="006D2846">
          <w:rPr>
            <w:rStyle w:val="Hyperlink"/>
          </w:rPr>
          <w:t>Policy on the management of placement and work-based learning</w:t>
        </w:r>
      </w:hyperlink>
      <w:r w:rsidR="006D2846">
        <w:t>, University of Worcester</w:t>
      </w:r>
    </w:p>
    <w:p w:rsidR="00255A8A" w:rsidP="00637B2C" w:rsidRDefault="00000000" w14:paraId="7507F903" w14:textId="04C4D9EC">
      <w:hyperlink w:history="1" r:id="rId18">
        <w:r w:rsidRPr="00255A8A" w:rsidR="00255A8A">
          <w:rPr>
            <w:rStyle w:val="Hyperlink"/>
          </w:rPr>
          <w:t>Work-based learning</w:t>
        </w:r>
      </w:hyperlink>
      <w:r w:rsidR="00255A8A">
        <w:t>, QAA, 2018</w:t>
      </w:r>
    </w:p>
    <w:p w:rsidR="00FE6C14" w:rsidP="00637B2C" w:rsidRDefault="00FE6C14" w14:paraId="16388095" w14:textId="77777777"/>
    <w:p w:rsidR="00FE6C14" w:rsidP="00637B2C" w:rsidRDefault="00FE6C14" w14:paraId="55BAF4D6" w14:textId="77777777"/>
    <w:p w:rsidR="00517092" w:rsidP="00637B2C" w:rsidRDefault="00517092" w14:paraId="1456E125" w14:textId="77777777"/>
    <w:p w:rsidR="00517092" w:rsidP="00637B2C" w:rsidRDefault="00517092" w14:paraId="24E76F0C" w14:textId="77777777"/>
    <w:p w:rsidR="00517092" w:rsidP="00637B2C" w:rsidRDefault="00517092" w14:paraId="43550F78" w14:textId="77777777"/>
    <w:p w:rsidR="00517092" w:rsidP="00637B2C" w:rsidRDefault="00517092" w14:paraId="611B9AE7" w14:textId="77777777"/>
    <w:p w:rsidR="00517092" w:rsidP="00637B2C" w:rsidRDefault="00517092" w14:paraId="103E7D4F" w14:textId="77777777"/>
    <w:p w:rsidR="00517092" w:rsidP="00637B2C" w:rsidRDefault="00517092" w14:paraId="411FF0FF" w14:textId="77777777"/>
    <w:p w:rsidR="00517092" w:rsidP="00637B2C" w:rsidRDefault="00517092" w14:paraId="59A53F17" w14:textId="77777777"/>
    <w:p w:rsidR="00517092" w:rsidP="00637B2C" w:rsidRDefault="00517092" w14:paraId="423E039F" w14:textId="77777777"/>
    <w:p w:rsidR="00517092" w:rsidP="00637B2C" w:rsidRDefault="00517092" w14:paraId="72F1E3C2" w14:textId="77777777"/>
    <w:p w:rsidR="00517092" w:rsidP="00637B2C" w:rsidRDefault="00517092" w14:paraId="68A95506" w14:textId="77777777"/>
    <w:p w:rsidR="00517092" w:rsidP="00637B2C" w:rsidRDefault="00517092" w14:paraId="7DA7AAC7" w14:textId="77777777"/>
    <w:p w:rsidRPr="00D50535" w:rsidR="00517092" w:rsidP="00637B2C" w:rsidRDefault="00517092" w14:paraId="27B5999B" w14:textId="77777777"/>
    <w:p w:rsidRPr="0006127A" w:rsidR="00D304D1" w:rsidP="00D304D1" w:rsidRDefault="00D304D1" w14:paraId="0A8A7EC4" w14:textId="77777777">
      <w:r w:rsidRPr="0006127A">
        <w:t xml:space="preserve">With thanks to </w:t>
      </w:r>
      <w:r>
        <w:t xml:space="preserve">colleagues at </w:t>
      </w:r>
      <w:r w:rsidRPr="0006127A">
        <w:t>the University of Leeds</w:t>
      </w:r>
      <w:r>
        <w:t xml:space="preserve"> and</w:t>
      </w:r>
      <w:r w:rsidRPr="0006127A">
        <w:t xml:space="preserve"> Plymouth University, for allowing us to use and adapt their series of guides </w:t>
      </w:r>
    </w:p>
    <w:p w:rsidRPr="0006127A" w:rsidR="00D304D1" w:rsidP="00D304D1" w:rsidRDefault="00D304D1" w14:paraId="7E2DD754" w14:textId="4C362E71">
      <w:r w:rsidRPr="0006127A">
        <w:t xml:space="preserve">Weblinks reviewed and updated: </w:t>
      </w:r>
      <w:r w:rsidR="004C4F94">
        <w:t>August</w:t>
      </w:r>
      <w:r>
        <w:t xml:space="preserve"> 2022 </w:t>
      </w:r>
    </w:p>
    <w:p w:rsidRPr="0006127A" w:rsidR="00D304D1" w:rsidP="00D304D1" w:rsidRDefault="00D304D1" w14:paraId="3FAA9F36" w14:textId="77777777">
      <w:r w:rsidRPr="0006127A">
        <w:t>Attribution-Non-Commercial CC BY-SA.</w:t>
      </w:r>
    </w:p>
    <w:p w:rsidRPr="00D50535" w:rsidR="003646BA" w:rsidP="00E96E5F" w:rsidRDefault="00D304D1" w14:paraId="6AF5F6FE" w14:textId="00A6D00B">
      <w:r w:rsidRPr="0006127A">
        <w:t xml:space="preserve">This document </w:t>
      </w:r>
      <w:r>
        <w:t>2022</w:t>
      </w:r>
      <w:r w:rsidRPr="0006127A">
        <w:t xml:space="preserve">, University of Worcester. This work is made available for reuse under the terms of the Creative Commons Attribution-Non-Commercial Share Alike Licence 4.0 </w:t>
      </w:r>
      <w:hyperlink w:tooltip="Creative Commons Licence" w:history="1" r:id="rId19">
        <w:r w:rsidRPr="0006127A">
          <w:rPr>
            <w:rStyle w:val="Hyperlink"/>
          </w:rPr>
          <w:t>http://creativecommons.org/licenses/by-nc-sa/4.0/</w:t>
        </w:r>
      </w:hyperlink>
    </w:p>
    <w:sectPr w:rsidRPr="00D50535" w:rsidR="003646BA" w:rsidSect="00A449AC">
      <w:pgSz w:w="11906" w:h="16838" w:orient="portrait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07F55"/>
    <w:multiLevelType w:val="hybridMultilevel"/>
    <w:tmpl w:val="7F1E2B70"/>
    <w:lvl w:ilvl="0" w:tplc="BE58AF3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34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5F"/>
    <w:rsid w:val="0000021C"/>
    <w:rsid w:val="00003F8C"/>
    <w:rsid w:val="000122C7"/>
    <w:rsid w:val="00013FD8"/>
    <w:rsid w:val="00020727"/>
    <w:rsid w:val="000354CE"/>
    <w:rsid w:val="00037855"/>
    <w:rsid w:val="00051091"/>
    <w:rsid w:val="00051BB3"/>
    <w:rsid w:val="00060EA2"/>
    <w:rsid w:val="00062B82"/>
    <w:rsid w:val="00066FC3"/>
    <w:rsid w:val="000A18ED"/>
    <w:rsid w:val="000E084B"/>
    <w:rsid w:val="000E1885"/>
    <w:rsid w:val="000E4B4D"/>
    <w:rsid w:val="0010676D"/>
    <w:rsid w:val="00107130"/>
    <w:rsid w:val="0014490A"/>
    <w:rsid w:val="0016203A"/>
    <w:rsid w:val="00171644"/>
    <w:rsid w:val="001735FB"/>
    <w:rsid w:val="001802AC"/>
    <w:rsid w:val="00196EF5"/>
    <w:rsid w:val="001D09DC"/>
    <w:rsid w:val="001E1FDF"/>
    <w:rsid w:val="00201941"/>
    <w:rsid w:val="0020214D"/>
    <w:rsid w:val="00204730"/>
    <w:rsid w:val="00230DF0"/>
    <w:rsid w:val="002347F8"/>
    <w:rsid w:val="00236B2A"/>
    <w:rsid w:val="00242A57"/>
    <w:rsid w:val="00255A8A"/>
    <w:rsid w:val="00261B9A"/>
    <w:rsid w:val="00264013"/>
    <w:rsid w:val="00267E64"/>
    <w:rsid w:val="00273545"/>
    <w:rsid w:val="00284A88"/>
    <w:rsid w:val="00291145"/>
    <w:rsid w:val="002A5957"/>
    <w:rsid w:val="002C2715"/>
    <w:rsid w:val="002C7F4E"/>
    <w:rsid w:val="002E6787"/>
    <w:rsid w:val="002E6ED4"/>
    <w:rsid w:val="002F5EED"/>
    <w:rsid w:val="002F6549"/>
    <w:rsid w:val="00313A86"/>
    <w:rsid w:val="00331807"/>
    <w:rsid w:val="00331DE7"/>
    <w:rsid w:val="00334974"/>
    <w:rsid w:val="00346A3D"/>
    <w:rsid w:val="00351129"/>
    <w:rsid w:val="00353DBE"/>
    <w:rsid w:val="00357431"/>
    <w:rsid w:val="00362942"/>
    <w:rsid w:val="003643C0"/>
    <w:rsid w:val="003646BA"/>
    <w:rsid w:val="00364E9A"/>
    <w:rsid w:val="003830BC"/>
    <w:rsid w:val="003D2340"/>
    <w:rsid w:val="003F3E15"/>
    <w:rsid w:val="00403D78"/>
    <w:rsid w:val="00427A1A"/>
    <w:rsid w:val="0045731B"/>
    <w:rsid w:val="0046011E"/>
    <w:rsid w:val="00473334"/>
    <w:rsid w:val="004806C5"/>
    <w:rsid w:val="004825AF"/>
    <w:rsid w:val="00484D89"/>
    <w:rsid w:val="004A0117"/>
    <w:rsid w:val="004B0BEC"/>
    <w:rsid w:val="004B7B65"/>
    <w:rsid w:val="004C4F94"/>
    <w:rsid w:val="004D0107"/>
    <w:rsid w:val="004F0EEE"/>
    <w:rsid w:val="004F5DD7"/>
    <w:rsid w:val="00503603"/>
    <w:rsid w:val="00517092"/>
    <w:rsid w:val="00522AED"/>
    <w:rsid w:val="005331E0"/>
    <w:rsid w:val="005461FF"/>
    <w:rsid w:val="00551C42"/>
    <w:rsid w:val="00557401"/>
    <w:rsid w:val="005777B7"/>
    <w:rsid w:val="00582032"/>
    <w:rsid w:val="005823DA"/>
    <w:rsid w:val="005A7DC7"/>
    <w:rsid w:val="005B4DB2"/>
    <w:rsid w:val="005D4E2B"/>
    <w:rsid w:val="006049EE"/>
    <w:rsid w:val="006161BA"/>
    <w:rsid w:val="00634F7A"/>
    <w:rsid w:val="00637B2C"/>
    <w:rsid w:val="006715D3"/>
    <w:rsid w:val="006947DE"/>
    <w:rsid w:val="006C58A0"/>
    <w:rsid w:val="006D2846"/>
    <w:rsid w:val="006E6D21"/>
    <w:rsid w:val="00701C39"/>
    <w:rsid w:val="007329FE"/>
    <w:rsid w:val="00740F39"/>
    <w:rsid w:val="00745D4C"/>
    <w:rsid w:val="00754465"/>
    <w:rsid w:val="00797513"/>
    <w:rsid w:val="007B1531"/>
    <w:rsid w:val="007D1AD4"/>
    <w:rsid w:val="007E1EAC"/>
    <w:rsid w:val="00813147"/>
    <w:rsid w:val="00821778"/>
    <w:rsid w:val="0082250A"/>
    <w:rsid w:val="00836749"/>
    <w:rsid w:val="00845467"/>
    <w:rsid w:val="008A29EA"/>
    <w:rsid w:val="008D656B"/>
    <w:rsid w:val="00900B0D"/>
    <w:rsid w:val="00906F81"/>
    <w:rsid w:val="0090750D"/>
    <w:rsid w:val="009216B3"/>
    <w:rsid w:val="00924970"/>
    <w:rsid w:val="009566D8"/>
    <w:rsid w:val="009B67EC"/>
    <w:rsid w:val="009D6AF4"/>
    <w:rsid w:val="009E5C3A"/>
    <w:rsid w:val="009F1C81"/>
    <w:rsid w:val="00A0730C"/>
    <w:rsid w:val="00A10F73"/>
    <w:rsid w:val="00A1624B"/>
    <w:rsid w:val="00A238C4"/>
    <w:rsid w:val="00A323DC"/>
    <w:rsid w:val="00A3411B"/>
    <w:rsid w:val="00A449AC"/>
    <w:rsid w:val="00A54188"/>
    <w:rsid w:val="00A557D7"/>
    <w:rsid w:val="00A653DE"/>
    <w:rsid w:val="00A91407"/>
    <w:rsid w:val="00A975CB"/>
    <w:rsid w:val="00A97964"/>
    <w:rsid w:val="00AB418D"/>
    <w:rsid w:val="00AC7579"/>
    <w:rsid w:val="00AD34F8"/>
    <w:rsid w:val="00AE02D9"/>
    <w:rsid w:val="00B15906"/>
    <w:rsid w:val="00B20326"/>
    <w:rsid w:val="00B24C21"/>
    <w:rsid w:val="00B601E2"/>
    <w:rsid w:val="00B775F0"/>
    <w:rsid w:val="00B8608B"/>
    <w:rsid w:val="00B932E9"/>
    <w:rsid w:val="00BA440C"/>
    <w:rsid w:val="00BC2825"/>
    <w:rsid w:val="00BC4648"/>
    <w:rsid w:val="00BC4801"/>
    <w:rsid w:val="00BD04F6"/>
    <w:rsid w:val="00BD0BF3"/>
    <w:rsid w:val="00BE192E"/>
    <w:rsid w:val="00BE36A3"/>
    <w:rsid w:val="00BE4664"/>
    <w:rsid w:val="00C11AA0"/>
    <w:rsid w:val="00C31C67"/>
    <w:rsid w:val="00C6242C"/>
    <w:rsid w:val="00CA3ED3"/>
    <w:rsid w:val="00CA5BF9"/>
    <w:rsid w:val="00CB2D33"/>
    <w:rsid w:val="00CC508D"/>
    <w:rsid w:val="00CE046F"/>
    <w:rsid w:val="00CF1F14"/>
    <w:rsid w:val="00D14010"/>
    <w:rsid w:val="00D30442"/>
    <w:rsid w:val="00D304D1"/>
    <w:rsid w:val="00D35933"/>
    <w:rsid w:val="00D459EB"/>
    <w:rsid w:val="00D47419"/>
    <w:rsid w:val="00D50535"/>
    <w:rsid w:val="00D50F06"/>
    <w:rsid w:val="00D600BB"/>
    <w:rsid w:val="00D668BF"/>
    <w:rsid w:val="00D70A30"/>
    <w:rsid w:val="00D71CC0"/>
    <w:rsid w:val="00D95EAB"/>
    <w:rsid w:val="00DB552D"/>
    <w:rsid w:val="00DD266C"/>
    <w:rsid w:val="00DD2ECF"/>
    <w:rsid w:val="00E01367"/>
    <w:rsid w:val="00E06E83"/>
    <w:rsid w:val="00E116EC"/>
    <w:rsid w:val="00E20222"/>
    <w:rsid w:val="00E40F06"/>
    <w:rsid w:val="00E426CE"/>
    <w:rsid w:val="00E449BE"/>
    <w:rsid w:val="00E47488"/>
    <w:rsid w:val="00E96E5F"/>
    <w:rsid w:val="00EA76FC"/>
    <w:rsid w:val="00EC11C1"/>
    <w:rsid w:val="00EC4D10"/>
    <w:rsid w:val="00ED1702"/>
    <w:rsid w:val="00ED3C32"/>
    <w:rsid w:val="00ED6EE4"/>
    <w:rsid w:val="00ED7DC4"/>
    <w:rsid w:val="00EE7048"/>
    <w:rsid w:val="00F61DFB"/>
    <w:rsid w:val="00F74522"/>
    <w:rsid w:val="00F76F93"/>
    <w:rsid w:val="00F8225D"/>
    <w:rsid w:val="00F8454A"/>
    <w:rsid w:val="00F857B9"/>
    <w:rsid w:val="00FA2258"/>
    <w:rsid w:val="00FB1C98"/>
    <w:rsid w:val="00FC1B6F"/>
    <w:rsid w:val="00FC3AE0"/>
    <w:rsid w:val="00FC44AE"/>
    <w:rsid w:val="00FD3E0A"/>
    <w:rsid w:val="00FE0284"/>
    <w:rsid w:val="00FE119C"/>
    <w:rsid w:val="00FE6C14"/>
    <w:rsid w:val="0D1A46E4"/>
    <w:rsid w:val="0E6A17FD"/>
    <w:rsid w:val="0EE442C8"/>
    <w:rsid w:val="18D49B83"/>
    <w:rsid w:val="2B4D83F8"/>
    <w:rsid w:val="2DB41EDF"/>
    <w:rsid w:val="324C8CC3"/>
    <w:rsid w:val="3C2A4718"/>
    <w:rsid w:val="3D1F20A5"/>
    <w:rsid w:val="45E5249E"/>
    <w:rsid w:val="48F75235"/>
    <w:rsid w:val="4D194B42"/>
    <w:rsid w:val="50AC7A9F"/>
    <w:rsid w:val="58FB5483"/>
    <w:rsid w:val="5A92464D"/>
    <w:rsid w:val="5C02EF0B"/>
    <w:rsid w:val="5C32F545"/>
    <w:rsid w:val="62C89099"/>
    <w:rsid w:val="6481CF29"/>
    <w:rsid w:val="65C0AF2E"/>
    <w:rsid w:val="661B1D45"/>
    <w:rsid w:val="6670F6DC"/>
    <w:rsid w:val="68B687B7"/>
    <w:rsid w:val="746A74A6"/>
    <w:rsid w:val="7D1D4B76"/>
    <w:rsid w:val="7EB9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0386"/>
  <w15:chartTrackingRefBased/>
  <w15:docId w15:val="{01B320E8-E667-4BBC-B846-D439A76B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0F0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E5F"/>
    <w:pPr>
      <w:keepNext/>
      <w:keepLines/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449AC"/>
    <w:pPr>
      <w:numPr>
        <w:numId w:val="1"/>
      </w:numPr>
      <w:ind w:hanging="720"/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A449AC"/>
    <w:pPr>
      <w:outlineLvl w:val="2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96E5F"/>
    <w:rPr>
      <w:rFonts w:ascii="Arial" w:hAnsi="Arial" w:eastAsiaTheme="majorEastAsia" w:cstheme="majorBidi"/>
      <w:b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8131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1C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461FF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A449AC"/>
    <w:rPr>
      <w:rFonts w:ascii="Arial" w:hAnsi="Arial" w:eastAsiaTheme="majorEastAsia" w:cstheme="majorBidi"/>
      <w:b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A449AC"/>
    <w:rPr>
      <w:rFonts w:ascii="Arial" w:hAnsi="Arial" w:eastAsiaTheme="majorEastAsia" w:cstheme="majorBidi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180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88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E1885"/>
    <w:rPr>
      <w:rFonts w:ascii="Arial" w:hAnsi="Arial"/>
      <w:b/>
      <w:bCs/>
      <w:sz w:val="20"/>
      <w:szCs w:val="20"/>
    </w:rPr>
  </w:style>
  <w:style w:type="character" w:styleId="normaltextrun" w:customStyle="1">
    <w:name w:val="normaltextrun"/>
    <w:basedOn w:val="DefaultParagraphFont"/>
    <w:rsid w:val="00236B2A"/>
  </w:style>
  <w:style w:type="character" w:styleId="eop" w:customStyle="1">
    <w:name w:val="eop"/>
    <w:basedOn w:val="DefaultParagraphFont"/>
    <w:rsid w:val="0023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hyperlink" Target="https://www.advance-he.ac.uk/teaching-and-learning/curricula-development/education-mental-health-toolkit/scaffold-design/placements" TargetMode="External" Id="rId13" /><Relationship Type="http://schemas.openxmlformats.org/officeDocument/2006/relationships/hyperlink" Target="https://www.qaa.ac.uk/docs/qaa/quality-code/advice-and-guidance-work-based-learning.pdf?sfvrsn=f625c181_2" TargetMode="Externa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www2.worc.ac.uk/careers/" TargetMode="External" Id="rId7" /><Relationship Type="http://schemas.openxmlformats.org/officeDocument/2006/relationships/image" Target="media/image5.jpeg" Id="rId12" /><Relationship Type="http://schemas.openxmlformats.org/officeDocument/2006/relationships/hyperlink" Target="https://www2.worc.ac.uk/aqu/documents/Work-basedandPlacementLearningPolicy.pdf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www.brookes.ac.uk/staff/human-resources/equality-diversity-and-inclusion/guides-to-support-inclusive-teaching-and-learning/how-to-support-students-on-work-placements/" TargetMode="Externa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hyperlink" Target="https://www2.worc.ac.uk/disabilityanddyslexia/index.html" TargetMode="External" Id="rId11" /><Relationship Type="http://schemas.openxmlformats.org/officeDocument/2006/relationships/image" Target="media/image1.jpeg" Id="rId5" /><Relationship Type="http://schemas.openxmlformats.org/officeDocument/2006/relationships/hyperlink" Target="https://www.worc.ac.uk/documents/work-placements-for-disabled-students-guidance.PDF" TargetMode="External" Id="rId15" /><Relationship Type="http://schemas.openxmlformats.org/officeDocument/2006/relationships/image" Target="media/image4.jpeg" Id="rId10" /><Relationship Type="http://schemas.openxmlformats.org/officeDocument/2006/relationships/hyperlink" Target="http://creativecommons.org/licenses/by-nc-sa/4.0/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www.worc.ac.uk/documents/work-placements-for-disabled-students-guidance.PDF" TargetMode="External" Id="rId9" /><Relationship Type="http://schemas.openxmlformats.org/officeDocument/2006/relationships/hyperlink" Target="https://www.qaa.ac.uk/quality-code/advice-and-guidance/enabling-student-achievement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Worcester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Carolyn Nisbet</dc:creator>
  <keywords/>
  <dc:description/>
  <lastModifiedBy>Naomi Alty</lastModifiedBy>
  <revision>207</revision>
  <dcterms:created xsi:type="dcterms:W3CDTF">2021-04-26T10:01:00.0000000Z</dcterms:created>
  <dcterms:modified xsi:type="dcterms:W3CDTF">2022-08-30T14:44:29.0409413Z</dcterms:modified>
</coreProperties>
</file>